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3F" w:rsidRDefault="006D3C3F">
      <w:pPr>
        <w:jc w:val="center"/>
        <w:rPr>
          <w:rFonts w:ascii="黑体" w:eastAsia="黑体" w:hAnsi="黑体" w:cs="黑体"/>
          <w:sz w:val="44"/>
          <w:szCs w:val="44"/>
        </w:rPr>
      </w:pPr>
    </w:p>
    <w:p w:rsidR="006D3C3F" w:rsidRDefault="006D3C3F">
      <w:pPr>
        <w:jc w:val="center"/>
        <w:rPr>
          <w:rFonts w:ascii="黑体" w:eastAsia="黑体" w:hAnsi="黑体" w:cs="黑体"/>
          <w:sz w:val="44"/>
          <w:szCs w:val="44"/>
        </w:rPr>
      </w:pPr>
    </w:p>
    <w:p w:rsidR="006D3C3F" w:rsidRDefault="006D3C3F">
      <w:pPr>
        <w:jc w:val="center"/>
        <w:rPr>
          <w:rFonts w:ascii="黑体" w:eastAsia="黑体" w:hAnsi="黑体" w:cs="黑体"/>
          <w:sz w:val="44"/>
          <w:szCs w:val="44"/>
        </w:rPr>
      </w:pPr>
    </w:p>
    <w:p w:rsidR="006D3C3F" w:rsidRDefault="006E2DFB">
      <w:pPr>
        <w:jc w:val="center"/>
        <w:rPr>
          <w:rFonts w:ascii="黑体" w:eastAsia="黑体" w:hAnsi="黑体" w:cs="方正小标宋_GBK"/>
          <w:sz w:val="44"/>
          <w:szCs w:val="44"/>
        </w:rPr>
      </w:pPr>
      <w:r>
        <w:rPr>
          <w:rFonts w:ascii="黑体" w:eastAsia="黑体" w:hAnsi="黑体" w:cs="方正小标宋_GBK" w:hint="eastAsia"/>
          <w:sz w:val="44"/>
          <w:szCs w:val="44"/>
        </w:rPr>
        <w:t>2019</w:t>
      </w:r>
      <w:r>
        <w:rPr>
          <w:rFonts w:ascii="黑体" w:eastAsia="黑体" w:hAnsi="黑体" w:cs="方正小标宋_GBK" w:hint="eastAsia"/>
          <w:sz w:val="44"/>
          <w:szCs w:val="44"/>
        </w:rPr>
        <w:t>年度中共湖南省委老干部局整体支出</w:t>
      </w:r>
    </w:p>
    <w:p w:rsidR="006D3C3F" w:rsidRDefault="006E2DFB">
      <w:pPr>
        <w:jc w:val="center"/>
        <w:rPr>
          <w:rFonts w:ascii="黑体" w:eastAsia="黑体" w:hAnsi="黑体" w:cs="方正小标宋_GBK"/>
          <w:sz w:val="44"/>
          <w:szCs w:val="44"/>
        </w:rPr>
      </w:pPr>
      <w:r>
        <w:rPr>
          <w:rFonts w:ascii="黑体" w:eastAsia="黑体" w:hAnsi="黑体" w:cs="方正小标宋_GBK" w:hint="eastAsia"/>
          <w:sz w:val="44"/>
          <w:szCs w:val="44"/>
        </w:rPr>
        <w:t>绩效自评报告</w:t>
      </w:r>
    </w:p>
    <w:p w:rsidR="006D3C3F" w:rsidRDefault="006D3C3F">
      <w:pPr>
        <w:jc w:val="center"/>
        <w:rPr>
          <w:rFonts w:eastAsia="黑体"/>
          <w:sz w:val="32"/>
          <w:szCs w:val="32"/>
        </w:rPr>
      </w:pPr>
    </w:p>
    <w:p w:rsidR="006D3C3F" w:rsidRDefault="006D3C3F">
      <w:pPr>
        <w:jc w:val="center"/>
        <w:rPr>
          <w:rFonts w:eastAsia="黑体"/>
          <w:sz w:val="32"/>
          <w:szCs w:val="32"/>
        </w:rPr>
      </w:pPr>
    </w:p>
    <w:p w:rsidR="006D3C3F" w:rsidRDefault="006D3C3F">
      <w:pPr>
        <w:jc w:val="center"/>
        <w:rPr>
          <w:rFonts w:eastAsia="黑体"/>
          <w:sz w:val="32"/>
          <w:szCs w:val="32"/>
        </w:rPr>
      </w:pPr>
    </w:p>
    <w:p w:rsidR="006D3C3F" w:rsidRDefault="006D3C3F">
      <w:pPr>
        <w:jc w:val="center"/>
        <w:rPr>
          <w:rFonts w:eastAsia="黑体"/>
          <w:sz w:val="32"/>
          <w:szCs w:val="32"/>
        </w:rPr>
      </w:pPr>
    </w:p>
    <w:p w:rsidR="006D3C3F" w:rsidRDefault="006D3C3F">
      <w:pPr>
        <w:jc w:val="center"/>
        <w:rPr>
          <w:rFonts w:eastAsia="黑体"/>
          <w:sz w:val="32"/>
          <w:szCs w:val="32"/>
        </w:rPr>
      </w:pPr>
    </w:p>
    <w:p w:rsidR="006D3C3F" w:rsidRDefault="006D3C3F">
      <w:pPr>
        <w:jc w:val="center"/>
        <w:rPr>
          <w:rFonts w:eastAsia="黑体"/>
          <w:sz w:val="32"/>
          <w:szCs w:val="32"/>
        </w:rPr>
      </w:pPr>
    </w:p>
    <w:p w:rsidR="006D3C3F" w:rsidRDefault="006D3C3F">
      <w:pPr>
        <w:rPr>
          <w:rFonts w:eastAsia="黑体"/>
          <w:sz w:val="32"/>
          <w:szCs w:val="32"/>
        </w:rPr>
      </w:pPr>
    </w:p>
    <w:p w:rsidR="006D3C3F" w:rsidRDefault="006D3C3F">
      <w:pPr>
        <w:rPr>
          <w:rFonts w:eastAsia="黑体"/>
          <w:sz w:val="32"/>
          <w:szCs w:val="32"/>
        </w:rPr>
      </w:pPr>
    </w:p>
    <w:p w:rsidR="006D3C3F" w:rsidRDefault="006D3C3F">
      <w:pPr>
        <w:jc w:val="center"/>
        <w:rPr>
          <w:rFonts w:eastAsia="黑体"/>
          <w:sz w:val="44"/>
          <w:szCs w:val="44"/>
        </w:rPr>
      </w:pPr>
    </w:p>
    <w:p w:rsidR="006D3C3F" w:rsidRDefault="006D3C3F">
      <w:pPr>
        <w:jc w:val="center"/>
        <w:rPr>
          <w:rFonts w:eastAsia="黑体"/>
          <w:sz w:val="44"/>
          <w:szCs w:val="44"/>
        </w:rPr>
      </w:pPr>
    </w:p>
    <w:p w:rsidR="006D3C3F" w:rsidRDefault="006D3C3F">
      <w:pPr>
        <w:jc w:val="center"/>
        <w:rPr>
          <w:rFonts w:eastAsia="黑体"/>
          <w:sz w:val="44"/>
          <w:szCs w:val="44"/>
        </w:rPr>
      </w:pPr>
    </w:p>
    <w:p w:rsidR="006D3C3F" w:rsidRDefault="006D3C3F">
      <w:pPr>
        <w:jc w:val="center"/>
        <w:rPr>
          <w:rFonts w:eastAsia="黑体"/>
          <w:sz w:val="44"/>
          <w:szCs w:val="44"/>
        </w:rPr>
      </w:pPr>
    </w:p>
    <w:p w:rsidR="006D3C3F" w:rsidRDefault="006D3C3F">
      <w:pPr>
        <w:jc w:val="center"/>
        <w:rPr>
          <w:rFonts w:eastAsia="黑体"/>
          <w:sz w:val="44"/>
          <w:szCs w:val="44"/>
        </w:rPr>
      </w:pPr>
    </w:p>
    <w:p w:rsidR="006D3C3F" w:rsidRDefault="006E2DFB">
      <w:pPr>
        <w:jc w:val="center"/>
        <w:rPr>
          <w:rFonts w:ascii="楷体" w:eastAsia="楷体" w:hAnsi="楷体" w:cs="楷体"/>
          <w:sz w:val="36"/>
          <w:szCs w:val="36"/>
        </w:rPr>
      </w:pPr>
      <w:r>
        <w:rPr>
          <w:rFonts w:ascii="楷体" w:eastAsia="楷体" w:hAnsi="楷体" w:cs="楷体" w:hint="eastAsia"/>
          <w:sz w:val="36"/>
          <w:szCs w:val="36"/>
        </w:rPr>
        <w:t>中共湖南省委老干部局</w:t>
      </w:r>
    </w:p>
    <w:p w:rsidR="006D3C3F" w:rsidRDefault="006E2DFB">
      <w:pPr>
        <w:jc w:val="center"/>
        <w:rPr>
          <w:rFonts w:ascii="楷体" w:eastAsia="楷体" w:hAnsi="楷体" w:cs="楷体"/>
          <w:sz w:val="36"/>
          <w:szCs w:val="36"/>
        </w:rPr>
      </w:pPr>
      <w:r>
        <w:rPr>
          <w:rFonts w:ascii="楷体" w:eastAsia="楷体" w:hAnsi="楷体" w:cs="楷体" w:hint="eastAsia"/>
          <w:sz w:val="36"/>
          <w:szCs w:val="36"/>
        </w:rPr>
        <w:t>二〇二〇年六月</w:t>
      </w:r>
    </w:p>
    <w:p w:rsidR="006D3C3F" w:rsidRDefault="006E2DFB">
      <w:pPr>
        <w:widowControl/>
        <w:jc w:val="left"/>
        <w:rPr>
          <w:rFonts w:ascii="黑体" w:eastAsia="黑体" w:hAnsi="黑体"/>
          <w:b/>
          <w:bCs/>
          <w:sz w:val="32"/>
          <w:szCs w:val="32"/>
        </w:rPr>
        <w:sectPr w:rsidR="006D3C3F">
          <w:pgSz w:w="11906" w:h="16838"/>
          <w:pgMar w:top="1440" w:right="1800" w:bottom="1440" w:left="1800" w:header="851" w:footer="992" w:gutter="0"/>
          <w:cols w:space="425"/>
          <w:docGrid w:type="lines" w:linePitch="312"/>
        </w:sectPr>
      </w:pPr>
      <w:r>
        <w:rPr>
          <w:sz w:val="32"/>
          <w:szCs w:val="32"/>
        </w:rPr>
        <w:br w:type="page"/>
      </w:r>
      <w:bookmarkStart w:id="0" w:name="_Toc42327113"/>
    </w:p>
    <w:bookmarkStart w:id="1" w:name="_Toc42869199" w:displacedByCustomXml="next"/>
    <w:sdt>
      <w:sdtPr>
        <w:rPr>
          <w:rFonts w:ascii="黑体" w:eastAsia="黑体" w:hAnsi="黑体"/>
          <w:bCs/>
          <w:sz w:val="32"/>
          <w:szCs w:val="32"/>
        </w:rPr>
        <w:id w:val="-1770927824"/>
        <w:docPartObj>
          <w:docPartGallery w:val="Table of Contents"/>
          <w:docPartUnique/>
        </w:docPartObj>
      </w:sdtPr>
      <w:sdtEndPr>
        <w:rPr>
          <w:rFonts w:ascii="Times New Roman" w:eastAsia="宋体" w:hAnsi="Times New Roman"/>
          <w:b/>
          <w:sz w:val="21"/>
          <w:szCs w:val="24"/>
          <w:lang w:val="zh-CN"/>
        </w:rPr>
      </w:sdtEndPr>
      <w:sdtContent>
        <w:p w:rsidR="006D3C3F" w:rsidRDefault="006E2DFB">
          <w:pPr>
            <w:spacing w:line="560" w:lineRule="exact"/>
            <w:ind w:firstLineChars="200" w:firstLine="640"/>
            <w:jc w:val="center"/>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目</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录</w:t>
          </w:r>
          <w:bookmarkEnd w:id="1"/>
          <w:r w:rsidR="006D3C3F">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TOC \o "1-3" \h \z \u </w:instrText>
          </w:r>
          <w:r w:rsidR="006D3C3F">
            <w:rPr>
              <w:rFonts w:ascii="仿宋_GB2312" w:eastAsia="仿宋_GB2312" w:hAnsi="仿宋_GB2312" w:cs="仿宋_GB2312"/>
              <w:sz w:val="32"/>
              <w:szCs w:val="32"/>
            </w:rPr>
            <w:fldChar w:fldCharType="separate"/>
          </w:r>
        </w:p>
        <w:p w:rsidR="006D3C3F" w:rsidRDefault="006D3C3F">
          <w:pPr>
            <w:pStyle w:val="20"/>
            <w:tabs>
              <w:tab w:val="right" w:leader="dot" w:pos="8296"/>
            </w:tabs>
            <w:rPr>
              <w:rFonts w:ascii="仿宋_GB2312" w:eastAsia="仿宋_GB2312" w:hAnsi="仿宋_GB2312" w:cs="仿宋_GB2312"/>
              <w:sz w:val="32"/>
              <w:szCs w:val="32"/>
            </w:rPr>
          </w:pPr>
          <w:hyperlink w:anchor="_Toc42869200" w:history="1">
            <w:r w:rsidR="006E2DFB">
              <w:rPr>
                <w:rFonts w:ascii="仿宋_GB2312" w:eastAsia="仿宋_GB2312" w:hAnsi="仿宋_GB2312" w:cs="仿宋_GB2312"/>
                <w:sz w:val="32"/>
                <w:szCs w:val="32"/>
              </w:rPr>
              <w:t>一、单位基本情况</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_Toc42869200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1</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01" w:history="1">
            <w:r w:rsidR="006E2DFB">
              <w:rPr>
                <w:rFonts w:ascii="仿宋_GB2312" w:eastAsia="仿宋_GB2312" w:hAnsi="仿宋_GB2312" w:cs="仿宋_GB2312"/>
                <w:sz w:val="32"/>
                <w:szCs w:val="32"/>
              </w:rPr>
              <w:t>（一）主要职能</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_Toc42869201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1</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02" w:history="1">
            <w:r w:rsidR="006E2DFB">
              <w:rPr>
                <w:rFonts w:ascii="仿宋_GB2312" w:eastAsia="仿宋_GB2312" w:hAnsi="仿宋_GB2312" w:cs="仿宋_GB2312"/>
                <w:sz w:val="32"/>
                <w:szCs w:val="32"/>
              </w:rPr>
              <w:t>（二）机构情况</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_Toc42869202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2</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03" w:history="1">
            <w:r w:rsidR="006E2DFB">
              <w:rPr>
                <w:rFonts w:ascii="仿宋_GB2312" w:eastAsia="仿宋_GB2312" w:hAnsi="仿宋_GB2312" w:cs="仿宋_GB2312"/>
                <w:sz w:val="32"/>
                <w:szCs w:val="32"/>
              </w:rPr>
              <w:t>（三）人员情况</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_Toc42869203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2</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04" w:history="1">
            <w:r w:rsidR="006E2DFB">
              <w:rPr>
                <w:rFonts w:ascii="仿宋_GB2312" w:eastAsia="仿宋_GB2312" w:hAnsi="仿宋_GB2312" w:cs="仿宋_GB2312"/>
                <w:sz w:val="32"/>
                <w:szCs w:val="32"/>
              </w:rPr>
              <w:t>（四）编制范围</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_Toc42869204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2</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05" w:history="1">
            <w:r w:rsidR="006E2DFB">
              <w:rPr>
                <w:rFonts w:ascii="仿宋_GB2312" w:eastAsia="仿宋_GB2312" w:hAnsi="仿宋_GB2312" w:cs="仿宋_GB2312"/>
                <w:sz w:val="32"/>
                <w:szCs w:val="32"/>
              </w:rPr>
              <w:t>二、一般公共预算支出情况</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_Toc42869205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2</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06" w:history="1">
            <w:r w:rsidR="006E2DFB">
              <w:rPr>
                <w:rFonts w:ascii="仿宋_GB2312" w:eastAsia="仿宋_GB2312" w:hAnsi="仿宋_GB2312" w:cs="仿宋_GB2312"/>
                <w:sz w:val="32"/>
                <w:szCs w:val="32"/>
              </w:rPr>
              <w:t>（一）基本支出情况</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_Toc42869206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4</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07" w:history="1">
            <w:r w:rsidR="006E2DFB">
              <w:rPr>
                <w:rFonts w:ascii="仿宋_GB2312" w:eastAsia="仿宋_GB2312" w:hAnsi="仿宋_GB2312" w:cs="仿宋_GB2312"/>
                <w:sz w:val="32"/>
                <w:szCs w:val="32"/>
              </w:rPr>
              <w:t>（二）项目支出情况</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_Toc42869207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4</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08" w:history="1">
            <w:r w:rsidR="006E2DFB">
              <w:rPr>
                <w:rFonts w:ascii="仿宋_GB2312" w:eastAsia="仿宋_GB2312" w:hAnsi="仿宋_GB2312" w:cs="仿宋_GB2312"/>
                <w:sz w:val="32"/>
                <w:szCs w:val="32"/>
              </w:rPr>
              <w:t>三、部门整体支出绩效情况</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w:instrText>
            </w:r>
            <w:r w:rsidR="006E2DFB">
              <w:rPr>
                <w:rFonts w:ascii="仿宋_GB2312" w:eastAsia="仿宋_GB2312" w:hAnsi="仿宋_GB2312" w:cs="仿宋_GB2312"/>
                <w:sz w:val="32"/>
                <w:szCs w:val="32"/>
              </w:rPr>
              <w:instrText xml:space="preserve">oc42869208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4</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09" w:history="1">
            <w:r w:rsidR="006E2DFB">
              <w:rPr>
                <w:rFonts w:ascii="仿宋_GB2312" w:eastAsia="仿宋_GB2312" w:hAnsi="仿宋_GB2312" w:cs="仿宋_GB2312"/>
                <w:sz w:val="32"/>
                <w:szCs w:val="32"/>
              </w:rPr>
              <w:t>（一）产出指标完成情况分析</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_Toc42869209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4</w:t>
            </w:r>
            <w:r>
              <w:rPr>
                <w:rFonts w:ascii="仿宋_GB2312" w:eastAsia="仿宋_GB2312" w:hAnsi="仿宋_GB2312" w:cs="仿宋_GB2312"/>
                <w:sz w:val="32"/>
                <w:szCs w:val="32"/>
              </w:rPr>
              <w:fldChar w:fldCharType="end"/>
            </w:r>
          </w:hyperlink>
        </w:p>
        <w:p w:rsidR="006D3C3F" w:rsidRDefault="006D3C3F">
          <w:pPr>
            <w:pStyle w:val="30"/>
            <w:tabs>
              <w:tab w:val="right" w:leader="dot" w:pos="8296"/>
            </w:tabs>
            <w:rPr>
              <w:rFonts w:ascii="仿宋_GB2312" w:eastAsia="仿宋_GB2312" w:hAnsi="仿宋_GB2312" w:cs="仿宋_GB2312"/>
              <w:sz w:val="32"/>
              <w:szCs w:val="32"/>
            </w:rPr>
          </w:pPr>
          <w:hyperlink w:anchor="_Toc42869210" w:history="1">
            <w:r w:rsidR="006E2DFB">
              <w:rPr>
                <w:rFonts w:ascii="仿宋_GB2312" w:eastAsia="仿宋_GB2312" w:hAnsi="仿宋_GB2312" w:cs="仿宋_GB2312"/>
                <w:sz w:val="32"/>
                <w:szCs w:val="32"/>
              </w:rPr>
              <w:t>1</w:t>
            </w:r>
            <w:r w:rsidR="006E2DFB">
              <w:rPr>
                <w:rFonts w:ascii="仿宋_GB2312" w:eastAsia="仿宋_GB2312" w:hAnsi="仿宋_GB2312" w:cs="仿宋_GB2312"/>
                <w:sz w:val="32"/>
                <w:szCs w:val="32"/>
              </w:rPr>
              <w:t>、</w:t>
            </w:r>
            <w:r w:rsidR="006E2DFB">
              <w:rPr>
                <w:rFonts w:ascii="仿宋_GB2312" w:eastAsia="仿宋_GB2312" w:hAnsi="仿宋_GB2312" w:cs="仿宋_GB2312"/>
                <w:sz w:val="32"/>
                <w:szCs w:val="32"/>
              </w:rPr>
              <w:t>数量指标</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_Toc42869210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4</w:t>
            </w:r>
            <w:r>
              <w:rPr>
                <w:rFonts w:ascii="仿宋_GB2312" w:eastAsia="仿宋_GB2312" w:hAnsi="仿宋_GB2312" w:cs="仿宋_GB2312"/>
                <w:sz w:val="32"/>
                <w:szCs w:val="32"/>
              </w:rPr>
              <w:fldChar w:fldCharType="end"/>
            </w:r>
          </w:hyperlink>
        </w:p>
        <w:p w:rsidR="006D3C3F" w:rsidRDefault="006D3C3F">
          <w:pPr>
            <w:pStyle w:val="30"/>
            <w:tabs>
              <w:tab w:val="right" w:leader="dot" w:pos="8296"/>
            </w:tabs>
            <w:rPr>
              <w:rFonts w:ascii="仿宋_GB2312" w:eastAsia="仿宋_GB2312" w:hAnsi="仿宋_GB2312" w:cs="仿宋_GB2312"/>
              <w:sz w:val="32"/>
              <w:szCs w:val="32"/>
            </w:rPr>
          </w:pPr>
          <w:hyperlink w:anchor="_Toc42869211" w:history="1">
            <w:r w:rsidR="006E2DFB">
              <w:rPr>
                <w:rFonts w:ascii="仿宋_GB2312" w:eastAsia="仿宋_GB2312" w:hAnsi="仿宋_GB2312" w:cs="仿宋_GB2312"/>
                <w:sz w:val="32"/>
                <w:szCs w:val="32"/>
              </w:rPr>
              <w:t>2</w:t>
            </w:r>
            <w:r w:rsidR="006E2DFB">
              <w:rPr>
                <w:rFonts w:ascii="仿宋_GB2312" w:eastAsia="仿宋_GB2312" w:hAnsi="仿宋_GB2312" w:cs="仿宋_GB2312"/>
                <w:sz w:val="32"/>
                <w:szCs w:val="32"/>
              </w:rPr>
              <w:t>、质量指标</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_Toc42869211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7</w:t>
            </w:r>
            <w:r>
              <w:rPr>
                <w:rFonts w:ascii="仿宋_GB2312" w:eastAsia="仿宋_GB2312" w:hAnsi="仿宋_GB2312" w:cs="仿宋_GB2312"/>
                <w:sz w:val="32"/>
                <w:szCs w:val="32"/>
              </w:rPr>
              <w:fldChar w:fldCharType="end"/>
            </w:r>
          </w:hyperlink>
        </w:p>
        <w:p w:rsidR="006D3C3F" w:rsidRDefault="006D3C3F">
          <w:pPr>
            <w:pStyle w:val="30"/>
            <w:tabs>
              <w:tab w:val="right" w:leader="dot" w:pos="8296"/>
            </w:tabs>
            <w:rPr>
              <w:rFonts w:ascii="仿宋_GB2312" w:eastAsia="仿宋_GB2312" w:hAnsi="仿宋_GB2312" w:cs="仿宋_GB2312"/>
              <w:sz w:val="32"/>
              <w:szCs w:val="32"/>
            </w:rPr>
          </w:pPr>
          <w:hyperlink w:anchor="_Toc42869212" w:history="1">
            <w:r w:rsidR="006E2DFB">
              <w:rPr>
                <w:rFonts w:ascii="仿宋_GB2312" w:eastAsia="仿宋_GB2312" w:hAnsi="仿宋_GB2312" w:cs="仿宋_GB2312"/>
                <w:sz w:val="32"/>
                <w:szCs w:val="32"/>
              </w:rPr>
              <w:t>3</w:t>
            </w:r>
            <w:r w:rsidR="006E2DFB">
              <w:rPr>
                <w:rFonts w:ascii="仿宋_GB2312" w:eastAsia="仿宋_GB2312" w:hAnsi="仿宋_GB2312" w:cs="仿宋_GB2312"/>
                <w:sz w:val="32"/>
                <w:szCs w:val="32"/>
              </w:rPr>
              <w:t>、时效指标</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_Toc42869212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8</w:t>
            </w:r>
            <w:r>
              <w:rPr>
                <w:rFonts w:ascii="仿宋_GB2312" w:eastAsia="仿宋_GB2312" w:hAnsi="仿宋_GB2312" w:cs="仿宋_GB2312"/>
                <w:sz w:val="32"/>
                <w:szCs w:val="32"/>
              </w:rPr>
              <w:fldChar w:fldCharType="end"/>
            </w:r>
          </w:hyperlink>
        </w:p>
        <w:p w:rsidR="006D3C3F" w:rsidRDefault="006D3C3F">
          <w:pPr>
            <w:pStyle w:val="30"/>
            <w:tabs>
              <w:tab w:val="right" w:leader="dot" w:pos="8296"/>
            </w:tabs>
            <w:rPr>
              <w:rFonts w:ascii="仿宋_GB2312" w:eastAsia="仿宋_GB2312" w:hAnsi="仿宋_GB2312" w:cs="仿宋_GB2312"/>
              <w:sz w:val="32"/>
              <w:szCs w:val="32"/>
            </w:rPr>
          </w:pPr>
          <w:hyperlink w:anchor="_Toc42869213" w:history="1">
            <w:r w:rsidR="006E2DFB">
              <w:rPr>
                <w:rFonts w:ascii="仿宋_GB2312" w:eastAsia="仿宋_GB2312" w:hAnsi="仿宋_GB2312" w:cs="仿宋_GB2312"/>
                <w:sz w:val="32"/>
                <w:szCs w:val="32"/>
              </w:rPr>
              <w:t>4</w:t>
            </w:r>
            <w:r w:rsidR="006E2DFB">
              <w:rPr>
                <w:rFonts w:ascii="仿宋_GB2312" w:eastAsia="仿宋_GB2312" w:hAnsi="仿宋_GB2312" w:cs="仿宋_GB2312"/>
                <w:sz w:val="32"/>
                <w:szCs w:val="32"/>
              </w:rPr>
              <w:t>、成本指标</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_Toc42869213</w:instrText>
            </w:r>
            <w:r w:rsidR="006E2DFB">
              <w:rPr>
                <w:rFonts w:ascii="仿宋_GB2312" w:eastAsia="仿宋_GB2312" w:hAnsi="仿宋_GB2312" w:cs="仿宋_GB2312"/>
                <w:sz w:val="32"/>
                <w:szCs w:val="32"/>
              </w:rPr>
              <w:instrText xml:space="preserve">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8</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14" w:history="1">
            <w:r w:rsidR="006E2DFB">
              <w:rPr>
                <w:rFonts w:ascii="仿宋_GB2312" w:eastAsia="仿宋_GB2312" w:hAnsi="仿宋_GB2312" w:cs="仿宋_GB2312"/>
                <w:sz w:val="32"/>
                <w:szCs w:val="32"/>
              </w:rPr>
              <w:t>（二）效益指标完成情况分析</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_Toc42869214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9</w:t>
            </w:r>
            <w:r>
              <w:rPr>
                <w:rFonts w:ascii="仿宋_GB2312" w:eastAsia="仿宋_GB2312" w:hAnsi="仿宋_GB2312" w:cs="仿宋_GB2312"/>
                <w:sz w:val="32"/>
                <w:szCs w:val="32"/>
              </w:rPr>
              <w:fldChar w:fldCharType="end"/>
            </w:r>
          </w:hyperlink>
        </w:p>
        <w:p w:rsidR="006D3C3F" w:rsidRDefault="006D3C3F">
          <w:pPr>
            <w:pStyle w:val="30"/>
            <w:tabs>
              <w:tab w:val="right" w:leader="dot" w:pos="8296"/>
            </w:tabs>
            <w:rPr>
              <w:rFonts w:ascii="仿宋_GB2312" w:eastAsia="仿宋_GB2312" w:hAnsi="仿宋_GB2312" w:cs="仿宋_GB2312"/>
              <w:sz w:val="32"/>
              <w:szCs w:val="32"/>
            </w:rPr>
          </w:pPr>
          <w:hyperlink w:anchor="_Toc42869215" w:history="1">
            <w:r w:rsidR="006E2DFB">
              <w:rPr>
                <w:rFonts w:ascii="仿宋_GB2312" w:eastAsia="仿宋_GB2312" w:hAnsi="仿宋_GB2312" w:cs="仿宋_GB2312"/>
                <w:sz w:val="32"/>
                <w:szCs w:val="32"/>
              </w:rPr>
              <w:t>1</w:t>
            </w:r>
            <w:r w:rsidR="006E2DFB">
              <w:rPr>
                <w:rFonts w:ascii="仿宋_GB2312" w:eastAsia="仿宋_GB2312" w:hAnsi="仿宋_GB2312" w:cs="仿宋_GB2312"/>
                <w:sz w:val="32"/>
                <w:szCs w:val="32"/>
              </w:rPr>
              <w:t>、可持续影响指标</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w:instrText>
            </w:r>
            <w:r w:rsidR="006E2DFB">
              <w:rPr>
                <w:rFonts w:ascii="仿宋_GB2312" w:eastAsia="仿宋_GB2312" w:hAnsi="仿宋_GB2312" w:cs="仿宋_GB2312"/>
                <w:sz w:val="32"/>
                <w:szCs w:val="32"/>
              </w:rPr>
              <w:instrText xml:space="preserve">AGEREF _Toc42869215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9</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16" w:history="1">
            <w:r w:rsidR="006E2DFB">
              <w:rPr>
                <w:rFonts w:ascii="仿宋_GB2312" w:eastAsia="仿宋_GB2312" w:hAnsi="仿宋_GB2312" w:cs="仿宋_GB2312"/>
                <w:sz w:val="32"/>
                <w:szCs w:val="32"/>
              </w:rPr>
              <w:t>（三）满意度指标情况分析</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_Toc42869216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11</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17" w:history="1">
            <w:r w:rsidR="006E2DFB">
              <w:rPr>
                <w:rFonts w:ascii="仿宋_GB2312" w:eastAsia="仿宋_GB2312" w:hAnsi="仿宋_GB2312" w:cs="仿宋_GB2312"/>
                <w:sz w:val="32"/>
                <w:szCs w:val="32"/>
              </w:rPr>
              <w:t>四、综合评价情况及评价结论</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_Toc42869217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11</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18" w:history="1">
            <w:r w:rsidR="006E2DFB">
              <w:rPr>
                <w:rFonts w:ascii="仿宋_GB2312" w:eastAsia="仿宋_GB2312" w:hAnsi="仿宋_GB2312" w:cs="仿宋_GB2312"/>
                <w:sz w:val="32"/>
                <w:szCs w:val="32"/>
              </w:rPr>
              <w:t>五、存在的问题及原因分析</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w:instrText>
            </w:r>
            <w:r w:rsidR="006E2DFB">
              <w:rPr>
                <w:rFonts w:ascii="仿宋_GB2312" w:eastAsia="仿宋_GB2312" w:hAnsi="仿宋_GB2312" w:cs="仿宋_GB2312"/>
                <w:sz w:val="32"/>
                <w:szCs w:val="32"/>
              </w:rPr>
              <w:instrText xml:space="preserve">F _Toc42869218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12</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19" w:history="1">
            <w:r w:rsidR="006E2DFB">
              <w:rPr>
                <w:rFonts w:ascii="仿宋_GB2312" w:eastAsia="仿宋_GB2312" w:hAnsi="仿宋_GB2312" w:cs="仿宋_GB2312"/>
                <w:sz w:val="32"/>
                <w:szCs w:val="32"/>
              </w:rPr>
              <w:t>六、下一步改进措施</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_Toc42869219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12</w:t>
            </w:r>
            <w:r>
              <w:rPr>
                <w:rFonts w:ascii="仿宋_GB2312" w:eastAsia="仿宋_GB2312" w:hAnsi="仿宋_GB2312" w:cs="仿宋_GB2312"/>
                <w:sz w:val="32"/>
                <w:szCs w:val="32"/>
              </w:rPr>
              <w:fldChar w:fldCharType="end"/>
            </w:r>
          </w:hyperlink>
        </w:p>
        <w:p w:rsidR="006D3C3F" w:rsidRDefault="006D3C3F">
          <w:pPr>
            <w:pStyle w:val="20"/>
            <w:tabs>
              <w:tab w:val="right" w:leader="dot" w:pos="8296"/>
            </w:tabs>
            <w:rPr>
              <w:rFonts w:ascii="仿宋_GB2312" w:eastAsia="仿宋_GB2312" w:hAnsi="仿宋_GB2312" w:cs="仿宋_GB2312"/>
              <w:sz w:val="32"/>
              <w:szCs w:val="32"/>
            </w:rPr>
          </w:pPr>
          <w:hyperlink w:anchor="_Toc42869220" w:history="1">
            <w:r w:rsidR="006E2DFB">
              <w:rPr>
                <w:rFonts w:ascii="仿宋_GB2312" w:eastAsia="仿宋_GB2312" w:hAnsi="仿宋_GB2312" w:cs="仿宋_GB2312"/>
                <w:sz w:val="32"/>
                <w:szCs w:val="32"/>
              </w:rPr>
              <w:t>七、绩效自评结果拟应用和公开情况</w:t>
            </w:r>
            <w:r w:rsidR="006E2DFB">
              <w:rPr>
                <w:rFonts w:ascii="仿宋_GB2312" w:eastAsia="仿宋_GB2312" w:hAnsi="仿宋_GB2312" w:cs="仿宋_GB2312"/>
                <w:sz w:val="32"/>
                <w:szCs w:val="32"/>
              </w:rPr>
              <w:tab/>
            </w:r>
            <w:r>
              <w:rPr>
                <w:rFonts w:ascii="仿宋_GB2312" w:eastAsia="仿宋_GB2312" w:hAnsi="仿宋_GB2312" w:cs="仿宋_GB2312"/>
                <w:sz w:val="32"/>
                <w:szCs w:val="32"/>
              </w:rPr>
              <w:fldChar w:fldCharType="begin"/>
            </w:r>
            <w:r w:rsidR="006E2DFB">
              <w:rPr>
                <w:rFonts w:ascii="仿宋_GB2312" w:eastAsia="仿宋_GB2312" w:hAnsi="仿宋_GB2312" w:cs="仿宋_GB2312"/>
                <w:sz w:val="32"/>
                <w:szCs w:val="32"/>
              </w:rPr>
              <w:instrText xml:space="preserve"> PAGEREF _Toc42869220 \h </w:instrText>
            </w:r>
            <w:r>
              <w:rPr>
                <w:rFonts w:ascii="仿宋_GB2312" w:eastAsia="仿宋_GB2312" w:hAnsi="仿宋_GB2312" w:cs="仿宋_GB2312"/>
                <w:sz w:val="32"/>
                <w:szCs w:val="32"/>
              </w:rPr>
            </w:r>
            <w:r>
              <w:rPr>
                <w:rFonts w:ascii="仿宋_GB2312" w:eastAsia="仿宋_GB2312" w:hAnsi="仿宋_GB2312" w:cs="仿宋_GB2312"/>
                <w:sz w:val="32"/>
                <w:szCs w:val="32"/>
              </w:rPr>
              <w:fldChar w:fldCharType="separate"/>
            </w:r>
            <w:r w:rsidR="006E2DFB">
              <w:rPr>
                <w:rFonts w:ascii="仿宋_GB2312" w:eastAsia="仿宋_GB2312" w:hAnsi="仿宋_GB2312" w:cs="仿宋_GB2312"/>
                <w:sz w:val="32"/>
                <w:szCs w:val="32"/>
              </w:rPr>
              <w:t>13</w:t>
            </w:r>
            <w:r>
              <w:rPr>
                <w:rFonts w:ascii="仿宋_GB2312" w:eastAsia="仿宋_GB2312" w:hAnsi="仿宋_GB2312" w:cs="仿宋_GB2312"/>
                <w:sz w:val="32"/>
                <w:szCs w:val="32"/>
              </w:rPr>
              <w:fldChar w:fldCharType="end"/>
            </w:r>
          </w:hyperlink>
        </w:p>
        <w:p w:rsidR="006D3C3F" w:rsidRDefault="006D3C3F">
          <w:pPr>
            <w:rPr>
              <w:rFonts w:ascii="楷体" w:eastAsia="楷体" w:hAnsi="楷体"/>
              <w:b/>
              <w:bCs/>
              <w:sz w:val="32"/>
              <w:szCs w:val="32"/>
              <w:lang w:val="zh-CN"/>
            </w:rPr>
            <w:sectPr w:rsidR="006D3C3F">
              <w:pgSz w:w="11906" w:h="16838"/>
              <w:pgMar w:top="1440" w:right="1800" w:bottom="1440" w:left="1800" w:header="851" w:footer="992" w:gutter="0"/>
              <w:cols w:space="425"/>
              <w:docGrid w:type="lines" w:linePitch="312"/>
            </w:sectPr>
          </w:pPr>
          <w:r>
            <w:rPr>
              <w:rFonts w:ascii="仿宋_GB2312" w:eastAsia="仿宋_GB2312" w:hAnsi="仿宋_GB2312" w:cs="仿宋_GB2312"/>
              <w:sz w:val="32"/>
              <w:szCs w:val="32"/>
            </w:rPr>
            <w:fldChar w:fldCharType="end"/>
          </w:r>
        </w:p>
        <w:p w:rsidR="006D3C3F" w:rsidRDefault="006D3C3F"/>
      </w:sdtContent>
    </w:sdt>
    <w:p w:rsidR="006D3C3F" w:rsidRDefault="006E2DFB">
      <w:pPr>
        <w:jc w:val="center"/>
        <w:rPr>
          <w:rFonts w:ascii="黑体" w:eastAsia="黑体" w:hAnsi="黑体" w:cs="方正小标宋_GBK"/>
          <w:sz w:val="44"/>
          <w:szCs w:val="44"/>
        </w:rPr>
      </w:pPr>
      <w:bookmarkStart w:id="2" w:name="_Toc42869200"/>
      <w:bookmarkStart w:id="3" w:name="_Toc42327114"/>
      <w:bookmarkEnd w:id="0"/>
      <w:r>
        <w:rPr>
          <w:rFonts w:ascii="黑体" w:eastAsia="黑体" w:hAnsi="黑体" w:cs="方正小标宋_GBK" w:hint="eastAsia"/>
          <w:sz w:val="44"/>
          <w:szCs w:val="44"/>
        </w:rPr>
        <w:t>中共湖南省委老干部局</w:t>
      </w:r>
    </w:p>
    <w:p w:rsidR="006D3C3F" w:rsidRDefault="006E2DFB">
      <w:pPr>
        <w:jc w:val="center"/>
        <w:rPr>
          <w:rFonts w:ascii="黑体" w:eastAsia="黑体" w:hAnsi="黑体" w:cs="方正小标宋_GBK"/>
          <w:sz w:val="44"/>
          <w:szCs w:val="44"/>
        </w:rPr>
      </w:pPr>
      <w:r>
        <w:rPr>
          <w:rFonts w:ascii="黑体" w:eastAsia="黑体" w:hAnsi="黑体" w:cs="方正小标宋_GBK" w:hint="eastAsia"/>
          <w:sz w:val="44"/>
          <w:szCs w:val="44"/>
        </w:rPr>
        <w:t>2019</w:t>
      </w:r>
      <w:r>
        <w:rPr>
          <w:rFonts w:ascii="黑体" w:eastAsia="黑体" w:hAnsi="黑体" w:cs="方正小标宋_GBK" w:hint="eastAsia"/>
          <w:sz w:val="44"/>
          <w:szCs w:val="44"/>
        </w:rPr>
        <w:t>年度部门整体支出绩效自评报告</w:t>
      </w:r>
    </w:p>
    <w:p w:rsidR="006D3C3F" w:rsidRDefault="006D3C3F">
      <w:pPr>
        <w:spacing w:line="560" w:lineRule="exact"/>
        <w:ind w:firstLineChars="200" w:firstLine="640"/>
        <w:jc w:val="left"/>
        <w:outlineLvl w:val="1"/>
        <w:rPr>
          <w:rFonts w:ascii="黑体" w:eastAsia="黑体" w:hAnsi="黑体"/>
          <w:bCs/>
          <w:sz w:val="32"/>
          <w:szCs w:val="32"/>
        </w:rPr>
      </w:pPr>
    </w:p>
    <w:p w:rsidR="006D3C3F" w:rsidRDefault="006E2DFB">
      <w:pPr>
        <w:spacing w:line="56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为进一步规范财政资金管理，强化绩效和责任意识，切实提高财政资金使用效益，按照《湖南省财政厅关于开展</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年度部门整体支出绩效自评工作通知》（湘财绩﹝</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号）文件要求，我部门积极开展</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年度部门整体支出绩效自评工作，现将有关自评情况报告如下：</w:t>
      </w:r>
    </w:p>
    <w:p w:rsidR="006D3C3F" w:rsidRDefault="006E2DFB">
      <w:pPr>
        <w:spacing w:line="560" w:lineRule="exact"/>
        <w:ind w:firstLineChars="200" w:firstLine="640"/>
        <w:jc w:val="left"/>
        <w:outlineLvl w:val="1"/>
        <w:rPr>
          <w:rFonts w:ascii="黑体" w:eastAsia="黑体" w:hAnsi="黑体"/>
          <w:bCs/>
          <w:sz w:val="32"/>
          <w:szCs w:val="32"/>
        </w:rPr>
      </w:pPr>
      <w:r>
        <w:rPr>
          <w:rFonts w:ascii="黑体" w:eastAsia="黑体" w:hAnsi="黑体" w:hint="eastAsia"/>
          <w:bCs/>
          <w:sz w:val="32"/>
          <w:szCs w:val="32"/>
        </w:rPr>
        <w:t>一、单位基本情况</w:t>
      </w:r>
      <w:bookmarkEnd w:id="2"/>
    </w:p>
    <w:p w:rsidR="006D3C3F" w:rsidRDefault="006E2DFB">
      <w:pPr>
        <w:pStyle w:val="a7"/>
        <w:spacing w:line="560" w:lineRule="exact"/>
        <w:ind w:left="840" w:firstLineChars="0" w:firstLine="0"/>
        <w:jc w:val="left"/>
        <w:outlineLvl w:val="1"/>
        <w:rPr>
          <w:rFonts w:ascii="楷体" w:eastAsia="楷体" w:hAnsi="楷体"/>
          <w:bCs/>
          <w:sz w:val="32"/>
          <w:szCs w:val="32"/>
        </w:rPr>
      </w:pPr>
      <w:bookmarkStart w:id="4" w:name="_Toc42869201"/>
      <w:r>
        <w:rPr>
          <w:rFonts w:ascii="楷体" w:eastAsia="楷体" w:hAnsi="楷体" w:hint="eastAsia"/>
          <w:bCs/>
          <w:sz w:val="32"/>
          <w:szCs w:val="32"/>
        </w:rPr>
        <w:t>（一）主要职能</w:t>
      </w:r>
      <w:bookmarkEnd w:id="3"/>
      <w:bookmarkEnd w:id="4"/>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按照《中共湖南省委老干部局职能配置、内设机构和人员编制方案》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湘办发〔</w:t>
      </w:r>
      <w:r>
        <w:rPr>
          <w:rFonts w:ascii="仿宋_GB2312" w:eastAsia="仿宋_GB2312" w:hAnsi="仿宋_GB2312" w:cs="仿宋_GB2312" w:hint="eastAsia"/>
          <w:sz w:val="32"/>
          <w:szCs w:val="32"/>
        </w:rPr>
        <w:t>2001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、《中共湖南省委老干部局职能配置和机构编制调整的通知》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湘办发〔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，省委老干部局主要履行以下</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项职能。</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贯彻执行党中央、国务院和省委、省政府关于老干部工作的方针、政策和法规，制定实施办法和细则；开展调查研究，为省委、省政府制订有关老干部工作的政策规定提供情况和依据。</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．负责对全省老干部工作的督查、指导和协调，督促老干部政治待遇和生活待遇的落实，组织指导老干部开展活动、发挥作用。</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．指导、督查离退休干部的党组织建设，开展老干部思想政治工作，加强老干部的学习教育。</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w:t>
      </w:r>
      <w:r>
        <w:rPr>
          <w:rFonts w:ascii="仿宋_GB2312" w:eastAsia="仿宋_GB2312" w:hAnsi="仿宋_GB2312" w:cs="仿宋_GB2312" w:hint="eastAsia"/>
          <w:sz w:val="32"/>
          <w:szCs w:val="32"/>
        </w:rPr>
        <w:t>．负责老干部和老干部工作的宣传，开展尊老、敬老、爱老活动，依法维护老干部的合法权益。</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．指导全省老干部工作部门的自身建设工作。</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．按照有</w:t>
      </w:r>
      <w:r>
        <w:rPr>
          <w:rFonts w:ascii="仿宋_GB2312" w:eastAsia="仿宋_GB2312" w:hAnsi="仿宋_GB2312" w:cs="仿宋_GB2312" w:hint="eastAsia"/>
          <w:sz w:val="32"/>
          <w:szCs w:val="32"/>
        </w:rPr>
        <w:t>关规定，做好来湘老干部的接待服务工作。</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．承担省老干部工作领导小组办公室的日常工作。</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．承担省关心下一代工作委员会的日常工作。</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．负责对所属事业单位的国有资产和财务进行管理和监督，充分发挥各种场地和设施的作用，发展老干部事业。</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．承担省委离退休干部工委办公室的日常管理工作。</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．承办省委和省委组织部交办的其他事项。</w:t>
      </w:r>
    </w:p>
    <w:p w:rsidR="006D3C3F" w:rsidRDefault="006E2DFB">
      <w:pPr>
        <w:spacing w:line="560" w:lineRule="exact"/>
        <w:ind w:firstLineChars="200" w:firstLine="640"/>
        <w:jc w:val="left"/>
        <w:outlineLvl w:val="1"/>
        <w:rPr>
          <w:rFonts w:ascii="楷体" w:eastAsia="楷体" w:hAnsi="楷体"/>
          <w:bCs/>
          <w:sz w:val="32"/>
          <w:szCs w:val="32"/>
        </w:rPr>
      </w:pPr>
      <w:bookmarkStart w:id="5" w:name="_Toc42327115"/>
      <w:bookmarkStart w:id="6" w:name="_Toc42869202"/>
      <w:r>
        <w:rPr>
          <w:rFonts w:ascii="楷体" w:eastAsia="楷体" w:hAnsi="楷体" w:hint="eastAsia"/>
          <w:bCs/>
          <w:sz w:val="32"/>
          <w:szCs w:val="32"/>
        </w:rPr>
        <w:t>（</w:t>
      </w:r>
      <w:r>
        <w:rPr>
          <w:rFonts w:ascii="楷体" w:eastAsia="楷体" w:hAnsi="楷体" w:hint="eastAsia"/>
          <w:bCs/>
          <w:sz w:val="32"/>
          <w:szCs w:val="32"/>
        </w:rPr>
        <w:t>二）机构情况</w:t>
      </w:r>
      <w:bookmarkEnd w:id="5"/>
      <w:bookmarkEnd w:id="6"/>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省委老干部局是省委工作机关，为正厅级全额拨款行政单位。局机关内设机构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个：办公室、一处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省委离退休干部工委办公室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省直工作处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综合调研处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、老年教育与</w:t>
      </w:r>
      <w:r>
        <w:rPr>
          <w:rFonts w:ascii="仿宋_GB2312" w:eastAsia="仿宋_GB2312" w:hAnsi="仿宋_GB2312" w:cs="仿宋_GB2312" w:hint="eastAsia"/>
          <w:sz w:val="32"/>
          <w:szCs w:val="32"/>
        </w:rPr>
        <w:t>宣传处，省关心下一代工作委员会办公室，人事处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机关党委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。下设财政全额拨款参照公务员管理的事业单位</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个：省老干部休养所、省老干部活动中心；财政差额拨款事业单位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个：湖南省老干部大学（</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月成立，暂未纳入</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年部门决算编制范围）；未纳入财政预算管理的自收自支事业单位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个：老年人杂志社。</w:t>
      </w:r>
    </w:p>
    <w:p w:rsidR="006D3C3F" w:rsidRDefault="006E2DFB">
      <w:pPr>
        <w:pStyle w:val="2"/>
        <w:spacing w:before="0" w:after="0" w:line="560" w:lineRule="exact"/>
        <w:ind w:firstLineChars="200" w:firstLine="640"/>
        <w:rPr>
          <w:rFonts w:ascii="楷体" w:eastAsia="楷体" w:hAnsi="楷体" w:cs="Times New Roman"/>
          <w:b w:val="0"/>
        </w:rPr>
      </w:pPr>
      <w:bookmarkStart w:id="7" w:name="_Toc42327116"/>
      <w:bookmarkStart w:id="8" w:name="_Toc42869203"/>
      <w:r>
        <w:rPr>
          <w:rFonts w:ascii="楷体" w:eastAsia="楷体" w:hAnsi="楷体" w:cs="Times New Roman" w:hint="eastAsia"/>
          <w:b w:val="0"/>
        </w:rPr>
        <w:t>（三）人员情况</w:t>
      </w:r>
      <w:bookmarkEnd w:id="7"/>
      <w:bookmarkEnd w:id="8"/>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本部门编制人员为</w:t>
      </w:r>
      <w:r>
        <w:rPr>
          <w:rFonts w:ascii="仿宋_GB2312" w:eastAsia="仿宋_GB2312" w:hAnsi="仿宋_GB2312" w:cs="仿宋_GB2312" w:hint="eastAsia"/>
          <w:sz w:val="32"/>
          <w:szCs w:val="32"/>
        </w:rPr>
        <w:t>145</w:t>
      </w:r>
      <w:r>
        <w:rPr>
          <w:rFonts w:ascii="仿宋_GB2312" w:eastAsia="仿宋_GB2312" w:hAnsi="仿宋_GB2312" w:cs="仿宋_GB2312" w:hint="eastAsia"/>
          <w:sz w:val="32"/>
          <w:szCs w:val="32"/>
        </w:rPr>
        <w:t>人。年末实有在职人数</w:t>
      </w:r>
      <w:r>
        <w:rPr>
          <w:rFonts w:ascii="仿宋_GB2312" w:eastAsia="仿宋_GB2312" w:hAnsi="仿宋_GB2312" w:cs="仿宋_GB2312" w:hint="eastAsia"/>
          <w:sz w:val="32"/>
          <w:szCs w:val="32"/>
        </w:rPr>
        <w:t>137</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行政人员</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人，参照公务员法管理事业人员</w:t>
      </w:r>
      <w:r>
        <w:rPr>
          <w:rFonts w:ascii="仿宋_GB2312" w:eastAsia="仿宋_GB2312" w:hAnsi="仿宋_GB2312" w:cs="仿宋_GB2312" w:hint="eastAsia"/>
          <w:sz w:val="32"/>
          <w:szCs w:val="32"/>
        </w:rPr>
        <w:t>94</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，比上年</w:t>
      </w:r>
      <w:r>
        <w:rPr>
          <w:rFonts w:ascii="仿宋_GB2312" w:eastAsia="仿宋_GB2312" w:hAnsi="仿宋_GB2312" w:cs="仿宋_GB2312" w:hint="eastAsia"/>
          <w:sz w:val="32"/>
          <w:szCs w:val="32"/>
        </w:rPr>
        <w:lastRenderedPageBreak/>
        <w:t>减少了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人（局本级增加军转人员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人，省老干部活动中心在职转退休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人），离休人员</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人，由社保</w:t>
      </w:r>
      <w:r>
        <w:rPr>
          <w:rFonts w:ascii="仿宋_GB2312" w:eastAsia="仿宋_GB2312" w:hAnsi="仿宋_GB2312" w:cs="仿宋_GB2312" w:hint="eastAsia"/>
          <w:sz w:val="32"/>
          <w:szCs w:val="32"/>
        </w:rPr>
        <w:t>发放养老金的退休人员</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人。</w:t>
      </w:r>
    </w:p>
    <w:p w:rsidR="006D3C3F" w:rsidRDefault="006E2DFB">
      <w:pPr>
        <w:pStyle w:val="2"/>
        <w:spacing w:before="0" w:after="0" w:line="560" w:lineRule="exact"/>
        <w:ind w:firstLineChars="200" w:firstLine="640"/>
        <w:rPr>
          <w:rFonts w:ascii="楷体" w:eastAsia="楷体" w:hAnsi="楷体" w:cs="Times New Roman"/>
          <w:b w:val="0"/>
        </w:rPr>
      </w:pPr>
      <w:bookmarkStart w:id="9" w:name="_Toc42869204"/>
      <w:bookmarkStart w:id="10" w:name="_Toc42327117"/>
      <w:r>
        <w:rPr>
          <w:rFonts w:ascii="楷体" w:eastAsia="楷体" w:hAnsi="楷体" w:cs="Times New Roman" w:hint="eastAsia"/>
          <w:b w:val="0"/>
        </w:rPr>
        <w:t>（</w:t>
      </w:r>
      <w:r>
        <w:rPr>
          <w:rFonts w:ascii="楷体" w:eastAsia="楷体" w:hAnsi="楷体" w:cs="Times New Roman" w:hint="eastAsia"/>
          <w:b w:val="0"/>
        </w:rPr>
        <w:t>四）编制范围</w:t>
      </w:r>
      <w:bookmarkEnd w:id="9"/>
      <w:bookmarkEnd w:id="10"/>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年部门决算编制范围的预算单位包括：</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中共湖南省委老干部局机关本级</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．湖南省老干部休养所</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．湖南省老干部活动中心</w:t>
      </w:r>
    </w:p>
    <w:p w:rsidR="006D3C3F" w:rsidRDefault="006E2DFB">
      <w:pPr>
        <w:spacing w:line="560" w:lineRule="exact"/>
        <w:ind w:firstLineChars="200" w:firstLine="640"/>
        <w:jc w:val="left"/>
        <w:outlineLvl w:val="1"/>
        <w:rPr>
          <w:rFonts w:ascii="黑体" w:eastAsia="黑体" w:hAnsi="黑体"/>
          <w:bCs/>
          <w:sz w:val="32"/>
          <w:szCs w:val="32"/>
        </w:rPr>
      </w:pPr>
      <w:bookmarkStart w:id="11" w:name="_Toc42327118"/>
      <w:bookmarkStart w:id="12" w:name="_Toc42869205"/>
      <w:r>
        <w:rPr>
          <w:rFonts w:ascii="黑体" w:eastAsia="黑体" w:hAnsi="黑体" w:hint="eastAsia"/>
          <w:bCs/>
          <w:sz w:val="32"/>
          <w:szCs w:val="32"/>
        </w:rPr>
        <w:t>二、一般公共预算支出情况</w:t>
      </w:r>
      <w:bookmarkEnd w:id="11"/>
      <w:bookmarkEnd w:id="12"/>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年实际决算收入为</w:t>
      </w:r>
      <w:r>
        <w:rPr>
          <w:rFonts w:ascii="仿宋_GB2312" w:eastAsia="仿宋_GB2312" w:hAnsi="仿宋_GB2312" w:cs="仿宋_GB2312" w:hint="eastAsia"/>
          <w:sz w:val="32"/>
          <w:szCs w:val="32"/>
        </w:rPr>
        <w:t>8476.91</w:t>
      </w:r>
      <w:r>
        <w:rPr>
          <w:rFonts w:ascii="仿宋_GB2312" w:eastAsia="仿宋_GB2312" w:hAnsi="仿宋_GB2312" w:cs="仿宋_GB2312" w:hint="eastAsia"/>
          <w:sz w:val="32"/>
          <w:szCs w:val="32"/>
        </w:rPr>
        <w:t>万元，根据《湖南省财政厅关于省委办公厅等</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家部门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年部门预算的批复》（湘财预﹝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号）指标文年初批复预算金额为</w:t>
      </w:r>
      <w:r>
        <w:rPr>
          <w:rFonts w:ascii="仿宋_GB2312" w:eastAsia="仿宋_GB2312" w:hAnsi="仿宋_GB2312" w:cs="仿宋_GB2312" w:hint="eastAsia"/>
          <w:sz w:val="32"/>
          <w:szCs w:val="32"/>
        </w:rPr>
        <w:t>6111.59</w:t>
      </w:r>
      <w:r>
        <w:rPr>
          <w:rFonts w:ascii="仿宋_GB2312" w:eastAsia="仿宋_GB2312" w:hAnsi="仿宋_GB2312" w:cs="仿宋_GB2312" w:hint="eastAsia"/>
          <w:sz w:val="32"/>
          <w:szCs w:val="32"/>
        </w:rPr>
        <w:t>万元，事业收入为</w:t>
      </w:r>
      <w:r>
        <w:rPr>
          <w:rFonts w:ascii="仿宋_GB2312" w:eastAsia="仿宋_GB2312" w:hAnsi="仿宋_GB2312" w:cs="仿宋_GB2312" w:hint="eastAsia"/>
          <w:sz w:val="32"/>
          <w:szCs w:val="32"/>
        </w:rPr>
        <w:t>220</w:t>
      </w:r>
      <w:r>
        <w:rPr>
          <w:rFonts w:ascii="仿宋_GB2312" w:eastAsia="仿宋_GB2312" w:hAnsi="仿宋_GB2312" w:cs="仿宋_GB2312" w:hint="eastAsia"/>
          <w:sz w:val="32"/>
          <w:szCs w:val="32"/>
        </w:rPr>
        <w:t>万元，合计</w:t>
      </w:r>
      <w:r>
        <w:rPr>
          <w:rFonts w:ascii="仿宋_GB2312" w:eastAsia="仿宋_GB2312" w:hAnsi="仿宋_GB2312" w:cs="仿宋_GB2312" w:hint="eastAsia"/>
          <w:sz w:val="32"/>
          <w:szCs w:val="32"/>
        </w:rPr>
        <w:t>6331.59</w:t>
      </w:r>
      <w:r>
        <w:rPr>
          <w:rFonts w:ascii="仿宋_GB2312" w:eastAsia="仿宋_GB2312" w:hAnsi="仿宋_GB2312" w:cs="仿宋_GB2312" w:hint="eastAsia"/>
          <w:sz w:val="32"/>
          <w:szCs w:val="32"/>
        </w:rPr>
        <w:t>万元，与实际决算收入差异</w:t>
      </w:r>
      <w:r>
        <w:rPr>
          <w:rFonts w:ascii="仿宋_GB2312" w:eastAsia="仿宋_GB2312" w:hAnsi="仿宋_GB2312" w:cs="仿宋_GB2312" w:hint="eastAsia"/>
          <w:sz w:val="32"/>
          <w:szCs w:val="32"/>
        </w:rPr>
        <w:t>2145.32</w:t>
      </w:r>
      <w:r>
        <w:rPr>
          <w:rFonts w:ascii="仿宋_GB2312" w:eastAsia="仿宋_GB2312" w:hAnsi="仿宋_GB2312" w:cs="仿宋_GB2312" w:hint="eastAsia"/>
          <w:sz w:val="32"/>
          <w:szCs w:val="32"/>
        </w:rPr>
        <w:t>万元。差异原因如下：</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年中追加人员经费</w:t>
      </w:r>
      <w:r>
        <w:rPr>
          <w:rFonts w:ascii="仿宋_GB2312" w:eastAsia="仿宋_GB2312" w:hAnsi="仿宋_GB2312" w:cs="仿宋_GB2312" w:hint="eastAsia"/>
          <w:sz w:val="32"/>
          <w:szCs w:val="32"/>
        </w:rPr>
        <w:t>802.59</w:t>
      </w:r>
      <w:r>
        <w:rPr>
          <w:rFonts w:ascii="仿宋_GB2312" w:eastAsia="仿宋_GB2312" w:hAnsi="仿宋_GB2312" w:cs="仿宋_GB2312" w:hint="eastAsia"/>
          <w:sz w:val="32"/>
          <w:szCs w:val="32"/>
        </w:rPr>
        <w:t>万元（根据《湖南省财政厅关于下达</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年度政府绩效考核奖的通知》（湘财行指﹝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号）指标文追加</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年度政府绩效考核及综合治理奖金</w:t>
      </w:r>
      <w:r>
        <w:rPr>
          <w:rFonts w:ascii="仿宋_GB2312" w:eastAsia="仿宋_GB2312" w:hAnsi="仿宋_GB2312" w:cs="仿宋_GB2312" w:hint="eastAsia"/>
          <w:sz w:val="32"/>
          <w:szCs w:val="32"/>
        </w:rPr>
        <w:t>268.79</w:t>
      </w:r>
      <w:r>
        <w:rPr>
          <w:rFonts w:ascii="仿宋_GB2312" w:eastAsia="仿宋_GB2312" w:hAnsi="仿宋_GB2312" w:cs="仿宋_GB2312" w:hint="eastAsia"/>
          <w:sz w:val="32"/>
          <w:szCs w:val="32"/>
        </w:rPr>
        <w:t>万元；根据《湖南省财政厅关于下达行</w:t>
      </w:r>
      <w:r>
        <w:rPr>
          <w:rFonts w:ascii="仿宋_GB2312" w:eastAsia="仿宋_GB2312" w:hAnsi="仿宋_GB2312" w:cs="仿宋_GB2312" w:hint="eastAsia"/>
          <w:sz w:val="32"/>
          <w:szCs w:val="32"/>
        </w:rPr>
        <w:t>政口省直机关事业单位有关专项经费的通知》（湘财行指﹝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号）指标文追加</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年政府绩效考核及综合治理奖金</w:t>
      </w:r>
      <w:r>
        <w:rPr>
          <w:rFonts w:ascii="仿宋_GB2312" w:eastAsia="仿宋_GB2312" w:hAnsi="仿宋_GB2312" w:cs="仿宋_GB2312" w:hint="eastAsia"/>
          <w:sz w:val="32"/>
          <w:szCs w:val="32"/>
        </w:rPr>
        <w:t>473.8</w:t>
      </w:r>
      <w:r>
        <w:rPr>
          <w:rFonts w:ascii="仿宋_GB2312" w:eastAsia="仿宋_GB2312" w:hAnsi="仿宋_GB2312" w:cs="仿宋_GB2312" w:hint="eastAsia"/>
          <w:sz w:val="32"/>
          <w:szCs w:val="32"/>
        </w:rPr>
        <w:t>万元；根据《湖南省财政厅关于下达</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年省补助离休干部医疗保障经费的通知》（湘财社指﹝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号）指标文追加省老干部休养所离休干部医疗经费</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2. </w:t>
      </w:r>
      <w:r>
        <w:rPr>
          <w:rFonts w:ascii="仿宋_GB2312" w:eastAsia="仿宋_GB2312" w:hAnsi="仿宋_GB2312" w:cs="仿宋_GB2312" w:hint="eastAsia"/>
          <w:sz w:val="32"/>
          <w:szCs w:val="32"/>
        </w:rPr>
        <w:t>根据《湖南省</w:t>
      </w:r>
      <w:r>
        <w:rPr>
          <w:rFonts w:ascii="仿宋_GB2312" w:eastAsia="仿宋_GB2312" w:hAnsi="仿宋_GB2312" w:cs="仿宋_GB2312" w:hint="eastAsia"/>
          <w:sz w:val="32"/>
          <w:szCs w:val="32"/>
        </w:rPr>
        <w:lastRenderedPageBreak/>
        <w:t>财政厅关于核定下达省委办公厅等单位</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年结转资金的通知》（湘财预函﹝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号）指标文，上年结转资金为</w:t>
      </w:r>
      <w:r>
        <w:rPr>
          <w:rFonts w:ascii="仿宋_GB2312" w:eastAsia="仿宋_GB2312" w:hAnsi="仿宋_GB2312" w:cs="仿宋_GB2312" w:hint="eastAsia"/>
          <w:sz w:val="32"/>
          <w:szCs w:val="32"/>
        </w:rPr>
        <w:t>1203.5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根据《湖南省财政厅关于下达</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年部分单位专项经费的通知》（湘财行指﹝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0003</w:t>
      </w:r>
      <w:r>
        <w:rPr>
          <w:rFonts w:ascii="仿宋_GB2312" w:eastAsia="仿宋_GB2312" w:hAnsi="仿宋_GB2312" w:cs="仿宋_GB2312" w:hint="eastAsia"/>
          <w:sz w:val="32"/>
          <w:szCs w:val="32"/>
        </w:rPr>
        <w:t>号），增加省老干部活动中心运行经费</w:t>
      </w:r>
      <w:r>
        <w:rPr>
          <w:rFonts w:ascii="仿宋_GB2312" w:eastAsia="仿宋_GB2312" w:hAnsi="仿宋_GB2312" w:cs="仿宋_GB2312" w:hint="eastAsia"/>
          <w:sz w:val="32"/>
          <w:szCs w:val="32"/>
        </w:rPr>
        <w:t>130</w:t>
      </w:r>
      <w:r>
        <w:rPr>
          <w:rFonts w:ascii="仿宋_GB2312" w:eastAsia="仿宋_GB2312" w:hAnsi="仿宋_GB2312" w:cs="仿宋_GB2312" w:hint="eastAsia"/>
          <w:sz w:val="32"/>
          <w:szCs w:val="32"/>
        </w:rPr>
        <w:t>万元，根据《湖南省财政厅关于下达</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年部分单位专项经费的通知》（湘财行指﹝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号）增加省老干部活动中心南山楼维修费</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万元，老干部活动经费</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根据《湖南省财政厅关于扣减省委办公厅等单位</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年一般性支出的通知》（﹝</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t>号）指标文，被收回指标</w:t>
      </w:r>
      <w:r>
        <w:rPr>
          <w:rFonts w:ascii="仿宋_GB2312" w:eastAsia="仿宋_GB2312" w:hAnsi="仿宋_GB2312" w:cs="仿宋_GB2312" w:hint="eastAsia"/>
          <w:sz w:val="32"/>
          <w:szCs w:val="32"/>
        </w:rPr>
        <w:t>80.9</w:t>
      </w:r>
      <w:r>
        <w:rPr>
          <w:rFonts w:ascii="仿宋_GB2312" w:eastAsia="仿宋_GB2312" w:hAnsi="仿宋_GB2312" w:cs="仿宋_GB2312" w:hint="eastAsia"/>
          <w:sz w:val="32"/>
          <w:szCs w:val="32"/>
        </w:rPr>
        <w:t>万元。</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年实际决算支出为</w:t>
      </w:r>
      <w:r>
        <w:rPr>
          <w:rFonts w:ascii="仿宋_GB2312" w:eastAsia="仿宋_GB2312" w:hAnsi="仿宋_GB2312" w:cs="仿宋_GB2312" w:hint="eastAsia"/>
          <w:sz w:val="32"/>
          <w:szCs w:val="32"/>
        </w:rPr>
        <w:t>7690.31</w:t>
      </w:r>
      <w:r>
        <w:rPr>
          <w:rFonts w:ascii="仿宋_GB2312" w:eastAsia="仿宋_GB2312" w:hAnsi="仿宋_GB2312" w:cs="仿宋_GB2312" w:hint="eastAsia"/>
          <w:sz w:val="32"/>
          <w:szCs w:val="32"/>
        </w:rPr>
        <w:t>万元，较预算支出增加了</w:t>
      </w:r>
      <w:r>
        <w:rPr>
          <w:rFonts w:ascii="仿宋_GB2312" w:eastAsia="仿宋_GB2312" w:hAnsi="仿宋_GB2312" w:cs="仿宋_GB2312" w:hint="eastAsia"/>
          <w:sz w:val="32"/>
          <w:szCs w:val="32"/>
        </w:rPr>
        <w:t>1358.72</w:t>
      </w:r>
      <w:r>
        <w:rPr>
          <w:rFonts w:ascii="仿宋_GB2312" w:eastAsia="仿宋_GB2312" w:hAnsi="仿宋_GB2312" w:cs="仿宋_GB2312" w:hint="eastAsia"/>
          <w:sz w:val="32"/>
          <w:szCs w:val="32"/>
        </w:rPr>
        <w:t>万元，增长了</w:t>
      </w:r>
      <w:r>
        <w:rPr>
          <w:rFonts w:ascii="仿宋_GB2312" w:eastAsia="仿宋_GB2312" w:hAnsi="仿宋_GB2312" w:cs="仿宋_GB2312" w:hint="eastAsia"/>
          <w:sz w:val="32"/>
          <w:szCs w:val="32"/>
        </w:rPr>
        <w:t>21.46%</w:t>
      </w:r>
      <w:r>
        <w:rPr>
          <w:rFonts w:ascii="仿宋_GB2312" w:eastAsia="仿宋_GB2312" w:hAnsi="仿宋_GB2312" w:cs="仿宋_GB2312" w:hint="eastAsia"/>
          <w:sz w:val="32"/>
          <w:szCs w:val="32"/>
        </w:rPr>
        <w:t>，其中基本支出增加</w:t>
      </w:r>
      <w:r>
        <w:rPr>
          <w:rFonts w:ascii="仿宋_GB2312" w:eastAsia="仿宋_GB2312" w:hAnsi="仿宋_GB2312" w:cs="仿宋_GB2312" w:hint="eastAsia"/>
          <w:sz w:val="32"/>
          <w:szCs w:val="32"/>
        </w:rPr>
        <w:t>998.86</w:t>
      </w:r>
      <w:r>
        <w:rPr>
          <w:rFonts w:ascii="仿宋_GB2312" w:eastAsia="仿宋_GB2312" w:hAnsi="仿宋_GB2312" w:cs="仿宋_GB2312" w:hint="eastAsia"/>
          <w:sz w:val="32"/>
          <w:szCs w:val="32"/>
        </w:rPr>
        <w:t>万元，项目支出增加</w:t>
      </w:r>
      <w:r>
        <w:rPr>
          <w:rFonts w:ascii="仿宋_GB2312" w:eastAsia="仿宋_GB2312" w:hAnsi="仿宋_GB2312" w:cs="仿宋_GB2312" w:hint="eastAsia"/>
          <w:sz w:val="32"/>
          <w:szCs w:val="32"/>
        </w:rPr>
        <w:t>359.87</w:t>
      </w:r>
      <w:r>
        <w:rPr>
          <w:rFonts w:ascii="仿宋_GB2312" w:eastAsia="仿宋_GB2312" w:hAnsi="仿宋_GB2312" w:cs="仿宋_GB2312" w:hint="eastAsia"/>
          <w:sz w:val="32"/>
          <w:szCs w:val="32"/>
        </w:rPr>
        <w:t>万元。</w:t>
      </w:r>
    </w:p>
    <w:p w:rsidR="006D3C3F" w:rsidRDefault="006E2DFB">
      <w:pPr>
        <w:spacing w:line="600" w:lineRule="exact"/>
        <w:ind w:firstLineChars="200" w:firstLine="640"/>
        <w:rPr>
          <w:rFonts w:ascii="楷体" w:eastAsia="楷体" w:hAnsi="楷体"/>
          <w:bCs/>
          <w:sz w:val="32"/>
          <w:szCs w:val="32"/>
        </w:rPr>
      </w:pPr>
      <w:bookmarkStart w:id="13" w:name="_Toc42869206"/>
      <w:bookmarkStart w:id="14" w:name="_Toc42327119"/>
      <w:r>
        <w:rPr>
          <w:rFonts w:ascii="楷体" w:eastAsia="楷体" w:hAnsi="楷体" w:hint="eastAsia"/>
          <w:bCs/>
          <w:sz w:val="32"/>
          <w:szCs w:val="32"/>
        </w:rPr>
        <w:t>（一）基本支出情况</w:t>
      </w:r>
      <w:bookmarkEnd w:id="13"/>
      <w:bookmarkEnd w:id="14"/>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年基本预算支出为</w:t>
      </w:r>
      <w:r>
        <w:rPr>
          <w:rFonts w:ascii="仿宋_GB2312" w:eastAsia="仿宋_GB2312" w:hAnsi="仿宋_GB2312" w:cs="仿宋_GB2312" w:hint="eastAsia"/>
          <w:sz w:val="32"/>
          <w:szCs w:val="32"/>
        </w:rPr>
        <w:t>3320.29</w:t>
      </w:r>
      <w:r>
        <w:rPr>
          <w:rFonts w:ascii="仿宋_GB2312" w:eastAsia="仿宋_GB2312" w:hAnsi="仿宋_GB2312" w:cs="仿宋_GB2312" w:hint="eastAsia"/>
          <w:sz w:val="32"/>
          <w:szCs w:val="32"/>
        </w:rPr>
        <w:t>万元，占整体预算支出</w:t>
      </w:r>
      <w:r>
        <w:rPr>
          <w:rFonts w:ascii="仿宋_GB2312" w:eastAsia="仿宋_GB2312" w:hAnsi="仿宋_GB2312" w:cs="仿宋_GB2312" w:hint="eastAsia"/>
          <w:sz w:val="32"/>
          <w:szCs w:val="32"/>
        </w:rPr>
        <w:t>52.44%</w:t>
      </w:r>
      <w:r>
        <w:rPr>
          <w:rFonts w:ascii="仿宋_GB2312" w:eastAsia="仿宋_GB2312" w:hAnsi="仿宋_GB2312" w:cs="仿宋_GB2312" w:hint="eastAsia"/>
          <w:sz w:val="32"/>
          <w:szCs w:val="32"/>
        </w:rPr>
        <w:t>，其中工资福利支出</w:t>
      </w:r>
      <w:r>
        <w:rPr>
          <w:rFonts w:ascii="仿宋_GB2312" w:eastAsia="仿宋_GB2312" w:hAnsi="仿宋_GB2312" w:cs="仿宋_GB2312" w:hint="eastAsia"/>
          <w:sz w:val="32"/>
          <w:szCs w:val="32"/>
        </w:rPr>
        <w:t>2262.17</w:t>
      </w:r>
      <w:r>
        <w:rPr>
          <w:rFonts w:ascii="仿宋_GB2312" w:eastAsia="仿宋_GB2312" w:hAnsi="仿宋_GB2312" w:cs="仿宋_GB2312" w:hint="eastAsia"/>
          <w:sz w:val="32"/>
          <w:szCs w:val="32"/>
        </w:rPr>
        <w:t>万元、商品和服务支出</w:t>
      </w:r>
      <w:r>
        <w:rPr>
          <w:rFonts w:ascii="仿宋_GB2312" w:eastAsia="仿宋_GB2312" w:hAnsi="仿宋_GB2312" w:cs="仿宋_GB2312" w:hint="eastAsia"/>
          <w:sz w:val="32"/>
          <w:szCs w:val="32"/>
        </w:rPr>
        <w:t>685.62</w:t>
      </w:r>
      <w:r>
        <w:rPr>
          <w:rFonts w:ascii="仿宋_GB2312" w:eastAsia="仿宋_GB2312" w:hAnsi="仿宋_GB2312" w:cs="仿宋_GB2312" w:hint="eastAsia"/>
          <w:sz w:val="32"/>
          <w:szCs w:val="32"/>
        </w:rPr>
        <w:t>万元、对个人和家庭的补助支出</w:t>
      </w:r>
      <w:r>
        <w:rPr>
          <w:rFonts w:ascii="仿宋_GB2312" w:eastAsia="仿宋_GB2312" w:hAnsi="仿宋_GB2312" w:cs="仿宋_GB2312" w:hint="eastAsia"/>
          <w:sz w:val="32"/>
          <w:szCs w:val="32"/>
        </w:rPr>
        <w:t>372.5</w:t>
      </w:r>
      <w:r>
        <w:rPr>
          <w:rFonts w:ascii="仿宋_GB2312" w:eastAsia="仿宋_GB2312" w:hAnsi="仿宋_GB2312" w:cs="仿宋_GB2312" w:hint="eastAsia"/>
          <w:sz w:val="32"/>
          <w:szCs w:val="32"/>
        </w:rPr>
        <w:t>万元。实际基本决算支出为</w:t>
      </w:r>
      <w:r>
        <w:rPr>
          <w:rFonts w:ascii="仿宋_GB2312" w:eastAsia="仿宋_GB2312" w:hAnsi="仿宋_GB2312" w:cs="仿宋_GB2312" w:hint="eastAsia"/>
          <w:sz w:val="32"/>
          <w:szCs w:val="32"/>
        </w:rPr>
        <w:t>4319.14</w:t>
      </w:r>
      <w:r>
        <w:rPr>
          <w:rFonts w:ascii="仿宋_GB2312" w:eastAsia="仿宋_GB2312" w:hAnsi="仿宋_GB2312" w:cs="仿宋_GB2312" w:hint="eastAsia"/>
          <w:sz w:val="32"/>
          <w:szCs w:val="32"/>
        </w:rPr>
        <w:t>万元，占整体决算支出</w:t>
      </w:r>
      <w:r>
        <w:rPr>
          <w:rFonts w:ascii="仿宋_GB2312" w:eastAsia="仿宋_GB2312" w:hAnsi="仿宋_GB2312" w:cs="仿宋_GB2312" w:hint="eastAsia"/>
          <w:sz w:val="32"/>
          <w:szCs w:val="32"/>
        </w:rPr>
        <w:t>56.16%</w:t>
      </w:r>
      <w:r>
        <w:rPr>
          <w:rFonts w:ascii="仿宋_GB2312" w:eastAsia="仿宋_GB2312" w:hAnsi="仿宋_GB2312" w:cs="仿宋_GB2312" w:hint="eastAsia"/>
          <w:sz w:val="32"/>
          <w:szCs w:val="32"/>
        </w:rPr>
        <w:t>，其中工资福利支出</w:t>
      </w:r>
      <w:r>
        <w:rPr>
          <w:rFonts w:ascii="仿宋_GB2312" w:eastAsia="仿宋_GB2312" w:hAnsi="仿宋_GB2312" w:cs="仿宋_GB2312" w:hint="eastAsia"/>
          <w:sz w:val="32"/>
          <w:szCs w:val="32"/>
        </w:rPr>
        <w:t>2848.67</w:t>
      </w:r>
      <w:r>
        <w:rPr>
          <w:rFonts w:ascii="仿宋_GB2312" w:eastAsia="仿宋_GB2312" w:hAnsi="仿宋_GB2312" w:cs="仿宋_GB2312" w:hint="eastAsia"/>
          <w:sz w:val="32"/>
          <w:szCs w:val="32"/>
        </w:rPr>
        <w:t>万元、商品和服务支出</w:t>
      </w:r>
      <w:r>
        <w:rPr>
          <w:rFonts w:ascii="仿宋_GB2312" w:eastAsia="仿宋_GB2312" w:hAnsi="仿宋_GB2312" w:cs="仿宋_GB2312" w:hint="eastAsia"/>
          <w:sz w:val="32"/>
          <w:szCs w:val="32"/>
        </w:rPr>
        <w:t>777.06</w:t>
      </w:r>
      <w:r>
        <w:rPr>
          <w:rFonts w:ascii="仿宋_GB2312" w:eastAsia="仿宋_GB2312" w:hAnsi="仿宋_GB2312" w:cs="仿宋_GB2312" w:hint="eastAsia"/>
          <w:sz w:val="32"/>
          <w:szCs w:val="32"/>
        </w:rPr>
        <w:t>万元、对个人和家庭的补助支出</w:t>
      </w:r>
      <w:r>
        <w:rPr>
          <w:rFonts w:ascii="仿宋_GB2312" w:eastAsia="仿宋_GB2312" w:hAnsi="仿宋_GB2312" w:cs="仿宋_GB2312" w:hint="eastAsia"/>
          <w:sz w:val="32"/>
          <w:szCs w:val="32"/>
        </w:rPr>
        <w:t>693.41</w:t>
      </w:r>
      <w:r>
        <w:rPr>
          <w:rFonts w:ascii="仿宋_GB2312" w:eastAsia="仿宋_GB2312" w:hAnsi="仿宋_GB2312" w:cs="仿宋_GB2312" w:hint="eastAsia"/>
          <w:sz w:val="32"/>
          <w:szCs w:val="32"/>
        </w:rPr>
        <w:t>万元。基本决算支出与基本预算支出差异</w:t>
      </w:r>
      <w:r>
        <w:rPr>
          <w:rFonts w:ascii="仿宋_GB2312" w:eastAsia="仿宋_GB2312" w:hAnsi="仿宋_GB2312" w:cs="仿宋_GB2312" w:hint="eastAsia"/>
          <w:sz w:val="32"/>
          <w:szCs w:val="32"/>
        </w:rPr>
        <w:t>998.85</w:t>
      </w:r>
      <w:r>
        <w:rPr>
          <w:rFonts w:ascii="仿宋_GB2312" w:eastAsia="仿宋_GB2312" w:hAnsi="仿宋_GB2312" w:cs="仿宋_GB2312" w:hint="eastAsia"/>
          <w:sz w:val="32"/>
          <w:szCs w:val="32"/>
        </w:rPr>
        <w:t>万元，形成原因如下：</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发放绩效考核、综合治理奖金和追加省老干部休养所离休干部医疗经</w:t>
      </w:r>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省老干部大学学员扩招，运行经费增加。</w:t>
      </w:r>
    </w:p>
    <w:p w:rsidR="006D3C3F" w:rsidRDefault="006E2DFB">
      <w:pPr>
        <w:spacing w:line="600" w:lineRule="exact"/>
        <w:ind w:firstLineChars="200" w:firstLine="640"/>
        <w:rPr>
          <w:rFonts w:ascii="楷体" w:eastAsia="楷体" w:hAnsi="楷体"/>
          <w:bCs/>
          <w:sz w:val="32"/>
          <w:szCs w:val="32"/>
        </w:rPr>
      </w:pPr>
      <w:bookmarkStart w:id="15" w:name="_Toc42327120"/>
      <w:bookmarkStart w:id="16" w:name="_Toc42869207"/>
      <w:r>
        <w:rPr>
          <w:rFonts w:ascii="楷体" w:eastAsia="楷体" w:hAnsi="楷体" w:hint="eastAsia"/>
          <w:bCs/>
          <w:sz w:val="32"/>
          <w:szCs w:val="32"/>
        </w:rPr>
        <w:lastRenderedPageBreak/>
        <w:t>（二）项目支出情况</w:t>
      </w:r>
      <w:bookmarkEnd w:id="15"/>
      <w:bookmarkEnd w:id="16"/>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年项目预算支出为</w:t>
      </w:r>
      <w:r>
        <w:rPr>
          <w:rFonts w:ascii="仿宋_GB2312" w:eastAsia="仿宋_GB2312" w:hAnsi="仿宋_GB2312" w:cs="仿宋_GB2312" w:hint="eastAsia"/>
          <w:sz w:val="32"/>
          <w:szCs w:val="32"/>
        </w:rPr>
        <w:t>3011.3</w:t>
      </w:r>
      <w:r>
        <w:rPr>
          <w:rFonts w:ascii="仿宋_GB2312" w:eastAsia="仿宋_GB2312" w:hAnsi="仿宋_GB2312" w:cs="仿宋_GB2312" w:hint="eastAsia"/>
          <w:sz w:val="32"/>
          <w:szCs w:val="32"/>
        </w:rPr>
        <w:t>万元，占整体预算支出</w:t>
      </w:r>
      <w:r>
        <w:rPr>
          <w:rFonts w:ascii="仿宋_GB2312" w:eastAsia="仿宋_GB2312" w:hAnsi="仿宋_GB2312" w:cs="仿宋_GB2312" w:hint="eastAsia"/>
          <w:sz w:val="32"/>
          <w:szCs w:val="32"/>
        </w:rPr>
        <w:t>47.56%</w:t>
      </w:r>
      <w:r>
        <w:rPr>
          <w:rFonts w:ascii="仿宋_GB2312" w:eastAsia="仿宋_GB2312" w:hAnsi="仿宋_GB2312" w:cs="仿宋_GB2312" w:hint="eastAsia"/>
          <w:sz w:val="32"/>
          <w:szCs w:val="32"/>
        </w:rPr>
        <w:t>，其中按项目管理商品和服务支出</w:t>
      </w:r>
      <w:r>
        <w:rPr>
          <w:rFonts w:ascii="仿宋_GB2312" w:eastAsia="仿宋_GB2312" w:hAnsi="仿宋_GB2312" w:cs="仿宋_GB2312" w:hint="eastAsia"/>
          <w:sz w:val="32"/>
          <w:szCs w:val="32"/>
        </w:rPr>
        <w:t>962.32</w:t>
      </w:r>
      <w:r>
        <w:rPr>
          <w:rFonts w:ascii="仿宋_GB2312" w:eastAsia="仿宋_GB2312" w:hAnsi="仿宋_GB2312" w:cs="仿宋_GB2312" w:hint="eastAsia"/>
          <w:sz w:val="32"/>
          <w:szCs w:val="32"/>
        </w:rPr>
        <w:t>万元、按项目管理的对个人和家庭补助支出</w:t>
      </w:r>
      <w:r>
        <w:rPr>
          <w:rFonts w:ascii="仿宋_GB2312" w:eastAsia="仿宋_GB2312" w:hAnsi="仿宋_GB2312" w:cs="仿宋_GB2312" w:hint="eastAsia"/>
          <w:sz w:val="32"/>
          <w:szCs w:val="32"/>
        </w:rPr>
        <w:t>701.12</w:t>
      </w:r>
      <w:r>
        <w:rPr>
          <w:rFonts w:ascii="仿宋_GB2312" w:eastAsia="仿宋_GB2312" w:hAnsi="仿宋_GB2312" w:cs="仿宋_GB2312" w:hint="eastAsia"/>
          <w:sz w:val="32"/>
          <w:szCs w:val="32"/>
        </w:rPr>
        <w:t>万元、资本性支出（基本建设）</w:t>
      </w:r>
      <w:r>
        <w:rPr>
          <w:rFonts w:ascii="仿宋_GB2312" w:eastAsia="仿宋_GB2312" w:hAnsi="仿宋_GB2312" w:cs="仿宋_GB2312" w:hint="eastAsia"/>
          <w:sz w:val="32"/>
          <w:szCs w:val="32"/>
        </w:rPr>
        <w:t>1347.86</w:t>
      </w:r>
      <w:r>
        <w:rPr>
          <w:rFonts w:ascii="仿宋_GB2312" w:eastAsia="仿宋_GB2312" w:hAnsi="仿宋_GB2312" w:cs="仿宋_GB2312" w:hint="eastAsia"/>
          <w:sz w:val="32"/>
          <w:szCs w:val="32"/>
        </w:rPr>
        <w:t>万元。实际项目决算支出为</w:t>
      </w:r>
      <w:r>
        <w:rPr>
          <w:rFonts w:ascii="仿宋_GB2312" w:eastAsia="仿宋_GB2312" w:hAnsi="仿宋_GB2312" w:cs="仿宋_GB2312" w:hint="eastAsia"/>
          <w:sz w:val="32"/>
          <w:szCs w:val="32"/>
        </w:rPr>
        <w:t>3371.17</w:t>
      </w:r>
      <w:r>
        <w:rPr>
          <w:rFonts w:ascii="仿宋_GB2312" w:eastAsia="仿宋_GB2312" w:hAnsi="仿宋_GB2312" w:cs="仿宋_GB2312" w:hint="eastAsia"/>
          <w:sz w:val="32"/>
          <w:szCs w:val="32"/>
        </w:rPr>
        <w:t>万元，与项目预算支出差异</w:t>
      </w:r>
      <w:r>
        <w:rPr>
          <w:rFonts w:ascii="仿宋_GB2312" w:eastAsia="仿宋_GB2312" w:hAnsi="仿宋_GB2312" w:cs="仿宋_GB2312" w:hint="eastAsia"/>
          <w:sz w:val="32"/>
          <w:szCs w:val="32"/>
        </w:rPr>
        <w:t>359.87</w:t>
      </w:r>
      <w:r>
        <w:rPr>
          <w:rFonts w:ascii="仿宋_GB2312" w:eastAsia="仿宋_GB2312" w:hAnsi="仿宋_GB2312" w:cs="仿宋_GB2312" w:hint="eastAsia"/>
          <w:sz w:val="32"/>
          <w:szCs w:val="32"/>
        </w:rPr>
        <w:t>万元，主要原因是省老干部活动中心的老干部大学及活动经费增加、维修费增加。</w:t>
      </w:r>
    </w:p>
    <w:p w:rsidR="006D3C3F" w:rsidRDefault="006E2DFB">
      <w:pPr>
        <w:spacing w:line="560" w:lineRule="exact"/>
        <w:ind w:firstLineChars="200" w:firstLine="640"/>
        <w:jc w:val="left"/>
        <w:outlineLvl w:val="1"/>
        <w:rPr>
          <w:rFonts w:ascii="黑体" w:eastAsia="黑体" w:hAnsi="黑体"/>
          <w:bCs/>
          <w:sz w:val="32"/>
          <w:szCs w:val="32"/>
        </w:rPr>
      </w:pPr>
      <w:bookmarkStart w:id="17" w:name="_Toc42327121"/>
      <w:bookmarkStart w:id="18" w:name="_Toc42869208"/>
      <w:r>
        <w:rPr>
          <w:rFonts w:ascii="黑体" w:eastAsia="黑体" w:hAnsi="黑体" w:hint="eastAsia"/>
          <w:bCs/>
          <w:sz w:val="32"/>
          <w:szCs w:val="32"/>
        </w:rPr>
        <w:t>三、部门整体支出绩效情况</w:t>
      </w:r>
      <w:bookmarkEnd w:id="17"/>
      <w:bookmarkEnd w:id="18"/>
    </w:p>
    <w:p w:rsidR="006D3C3F" w:rsidRDefault="006E2DFB">
      <w:pPr>
        <w:spacing w:line="600" w:lineRule="exact"/>
        <w:ind w:firstLineChars="200" w:firstLine="640"/>
        <w:rPr>
          <w:rFonts w:ascii="楷体" w:eastAsia="楷体" w:hAnsi="楷体"/>
          <w:bCs/>
          <w:sz w:val="32"/>
          <w:szCs w:val="32"/>
        </w:rPr>
      </w:pPr>
      <w:bookmarkStart w:id="19" w:name="_Toc42327122"/>
      <w:bookmarkStart w:id="20" w:name="_Toc42869209"/>
      <w:r>
        <w:rPr>
          <w:rFonts w:ascii="楷体" w:eastAsia="楷体" w:hAnsi="楷体" w:hint="eastAsia"/>
          <w:bCs/>
          <w:sz w:val="32"/>
          <w:szCs w:val="32"/>
        </w:rPr>
        <w:t>（一）产出指标完成情况分析</w:t>
      </w:r>
      <w:bookmarkEnd w:id="19"/>
      <w:bookmarkEnd w:id="20"/>
    </w:p>
    <w:p w:rsidR="006D3C3F" w:rsidRDefault="006E2DFB">
      <w:pPr>
        <w:spacing w:line="600" w:lineRule="exact"/>
        <w:ind w:firstLineChars="200" w:firstLine="643"/>
        <w:rPr>
          <w:rFonts w:ascii="仿宋_GB2312" w:eastAsia="仿宋_GB2312" w:hAnsi="仿宋_GB2312" w:cs="仿宋_GB2312"/>
          <w:b/>
          <w:bCs/>
          <w:sz w:val="32"/>
          <w:szCs w:val="32"/>
        </w:rPr>
      </w:pPr>
      <w:bookmarkStart w:id="21" w:name="_Toc42327123"/>
      <w:bookmarkStart w:id="22" w:name="_Toc42869210"/>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．数量指标</w:t>
      </w:r>
      <w:bookmarkEnd w:id="21"/>
      <w:bookmarkEnd w:id="22"/>
    </w:p>
    <w:p w:rsidR="006D3C3F" w:rsidRDefault="006E2DFB">
      <w:pPr>
        <w:spacing w:line="600" w:lineRule="exact"/>
        <w:ind w:firstLineChars="200" w:firstLine="640"/>
        <w:rPr>
          <w:rFonts w:ascii="仿宋_GB2312" w:eastAsia="仿宋_GB2312" w:hAnsi="仿宋_GB2312" w:cs="仿宋_GB2312"/>
          <w:sz w:val="32"/>
          <w:szCs w:val="32"/>
        </w:rPr>
      </w:pPr>
      <w:bookmarkStart w:id="23" w:name="_Hlk42614838"/>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离退休干部“三项</w:t>
      </w:r>
      <w:r>
        <w:rPr>
          <w:rFonts w:ascii="仿宋_GB2312" w:eastAsia="仿宋_GB2312" w:hAnsi="仿宋_GB2312" w:cs="仿宋_GB2312" w:hint="eastAsia"/>
          <w:sz w:val="32"/>
          <w:szCs w:val="32"/>
        </w:rPr>
        <w:t>建设”有力有效</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一是开设“金秋大讲堂”</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2435</w:t>
      </w:r>
      <w:r>
        <w:rPr>
          <w:rFonts w:ascii="仿宋_GB2312" w:eastAsia="仿宋_GB2312" w:hAnsi="仿宋_GB2312" w:cs="仿宋_GB2312" w:hint="eastAsia"/>
          <w:sz w:val="32"/>
          <w:szCs w:val="32"/>
        </w:rPr>
        <w:t>人参加。举办</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期省直及中央在湘单位离退休干部党支部书记网络学习培训班，</w:t>
      </w:r>
      <w:r>
        <w:rPr>
          <w:rFonts w:ascii="仿宋_GB2312" w:eastAsia="仿宋_GB2312" w:hAnsi="仿宋_GB2312" w:cs="仿宋_GB2312" w:hint="eastAsia"/>
          <w:sz w:val="32"/>
          <w:szCs w:val="32"/>
        </w:rPr>
        <w:t>253</w:t>
      </w:r>
      <w:r>
        <w:rPr>
          <w:rFonts w:ascii="仿宋_GB2312" w:eastAsia="仿宋_GB2312" w:hAnsi="仿宋_GB2312" w:cs="仿宋_GB2312" w:hint="eastAsia"/>
          <w:sz w:val="32"/>
          <w:szCs w:val="32"/>
        </w:rPr>
        <w:t>人参加。二是定期为省直离退休干部党支部开展主题党日活动“量身定制”提供服务，省委办公厅、省政协、省审计厅等</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个党组织</w:t>
      </w:r>
      <w:r>
        <w:rPr>
          <w:rFonts w:ascii="仿宋_GB2312" w:eastAsia="仿宋_GB2312" w:hAnsi="仿宋_GB2312" w:cs="仿宋_GB2312" w:hint="eastAsia"/>
          <w:sz w:val="32"/>
          <w:szCs w:val="32"/>
        </w:rPr>
        <w:t>2920</w:t>
      </w:r>
      <w:r>
        <w:rPr>
          <w:rFonts w:ascii="仿宋_GB2312" w:eastAsia="仿宋_GB2312" w:hAnsi="仿宋_GB2312" w:cs="仿宋_GB2312" w:hint="eastAsia"/>
          <w:sz w:val="32"/>
          <w:szCs w:val="32"/>
        </w:rPr>
        <w:t>名离退休干部党员参与活动。三是全省各级示范离退休干部党支部达</w:t>
      </w:r>
      <w:r>
        <w:rPr>
          <w:rFonts w:ascii="仿宋_GB2312" w:eastAsia="仿宋_GB2312" w:hAnsi="仿宋_GB2312" w:cs="仿宋_GB2312" w:hint="eastAsia"/>
          <w:sz w:val="32"/>
          <w:szCs w:val="32"/>
        </w:rPr>
        <w:t>2096</w:t>
      </w:r>
      <w:r>
        <w:rPr>
          <w:rFonts w:ascii="仿宋_GB2312" w:eastAsia="仿宋_GB2312" w:hAnsi="仿宋_GB2312" w:cs="仿宋_GB2312" w:hint="eastAsia"/>
          <w:sz w:val="32"/>
          <w:szCs w:val="32"/>
        </w:rPr>
        <w:t>个，其中省级授牌示范党支部</w:t>
      </w:r>
      <w:r>
        <w:rPr>
          <w:rFonts w:ascii="仿宋_GB2312" w:eastAsia="仿宋_GB2312" w:hAnsi="仿宋_GB2312" w:cs="仿宋_GB2312" w:hint="eastAsia"/>
          <w:sz w:val="32"/>
          <w:szCs w:val="32"/>
        </w:rPr>
        <w:t>158</w:t>
      </w:r>
      <w:r>
        <w:rPr>
          <w:rFonts w:ascii="仿宋_GB2312" w:eastAsia="仿宋_GB2312" w:hAnsi="仿宋_GB2312" w:cs="仿宋_GB2312" w:hint="eastAsia"/>
          <w:sz w:val="32"/>
          <w:szCs w:val="32"/>
        </w:rPr>
        <w:t>个。</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）老同志正能量活动深入深化</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一是聚焦主题开展活动。围绕庆祝新中国成立</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周年，开展“点赞新中国、银发耀三湘”主题活动。举办全省离退休干部太极拳比赛，</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109</w:t>
      </w:r>
      <w:r>
        <w:rPr>
          <w:rFonts w:ascii="仿宋_GB2312" w:eastAsia="仿宋_GB2312" w:hAnsi="仿宋_GB2312" w:cs="仿宋_GB2312" w:hint="eastAsia"/>
          <w:sz w:val="32"/>
          <w:szCs w:val="32"/>
        </w:rPr>
        <w:t>支团队近</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名老同志参赛，</w:t>
      </w:r>
      <w:r>
        <w:rPr>
          <w:rFonts w:ascii="仿宋_GB2312" w:eastAsia="仿宋_GB2312" w:hAnsi="仿宋_GB2312" w:cs="仿宋_GB2312" w:hint="eastAsia"/>
          <w:sz w:val="32"/>
          <w:szCs w:val="32"/>
        </w:rPr>
        <w:lastRenderedPageBreak/>
        <w:t>网络投票达</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万人次。省关工委深入推进“腾飞中国辉煌</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年”主题教育活动，组织巡回宣讲</w:t>
      </w:r>
      <w:r>
        <w:rPr>
          <w:rFonts w:ascii="仿宋_GB2312" w:eastAsia="仿宋_GB2312" w:hAnsi="仿宋_GB2312" w:cs="仿宋_GB2312" w:hint="eastAsia"/>
          <w:sz w:val="32"/>
          <w:szCs w:val="32"/>
        </w:rPr>
        <w:t>4000</w:t>
      </w:r>
      <w:r>
        <w:rPr>
          <w:rFonts w:ascii="仿宋_GB2312" w:eastAsia="仿宋_GB2312" w:hAnsi="仿宋_GB2312" w:cs="仿宋_GB2312" w:hint="eastAsia"/>
          <w:sz w:val="32"/>
          <w:szCs w:val="32"/>
        </w:rPr>
        <w:t>余场次，受教育青少年超过</w:t>
      </w:r>
      <w:r>
        <w:rPr>
          <w:rFonts w:ascii="仿宋_GB2312" w:eastAsia="仿宋_GB2312" w:hAnsi="仿宋_GB2312" w:cs="仿宋_GB2312" w:hint="eastAsia"/>
          <w:sz w:val="32"/>
          <w:szCs w:val="32"/>
        </w:rPr>
        <w:t>700</w:t>
      </w:r>
      <w:r>
        <w:rPr>
          <w:rFonts w:ascii="仿宋_GB2312" w:eastAsia="仿宋_GB2312" w:hAnsi="仿宋_GB2312" w:cs="仿宋_GB2312" w:hint="eastAsia"/>
          <w:sz w:val="32"/>
          <w:szCs w:val="32"/>
        </w:rPr>
        <w:t>万人次，帮扶各类困境青少年（包括留守儿童、“五失”青少年、特殊家庭困难青少年和一度误入歧途的青少年）近</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万人次，省关工委被中国关工委授予“十百千万”五老关爱行动优秀组织奖。全省召开离退休干部“我看新中国成立</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周年新成就”专题调研座谈会逾</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场次，组织参观考察社会经济、美丽乡村建设、项目建设近</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场次，开展各类纪念庆祝活动</w:t>
      </w:r>
      <w:r>
        <w:rPr>
          <w:rFonts w:ascii="仿宋_GB2312" w:eastAsia="仿宋_GB2312" w:hAnsi="仿宋_GB2312" w:cs="仿宋_GB2312" w:hint="eastAsia"/>
          <w:sz w:val="32"/>
          <w:szCs w:val="32"/>
        </w:rPr>
        <w:t>3700</w:t>
      </w:r>
      <w:r>
        <w:rPr>
          <w:rFonts w:ascii="仿宋_GB2312" w:eastAsia="仿宋_GB2312" w:hAnsi="仿宋_GB2312" w:cs="仿宋_GB2312" w:hint="eastAsia"/>
          <w:sz w:val="32"/>
          <w:szCs w:val="32"/>
        </w:rPr>
        <w:t>多场次</w:t>
      </w:r>
      <w:r>
        <w:rPr>
          <w:rFonts w:ascii="仿宋_GB2312" w:eastAsia="仿宋_GB2312" w:hAnsi="仿宋_GB2312" w:cs="仿宋_GB2312" w:hint="eastAsia"/>
          <w:sz w:val="32"/>
          <w:szCs w:val="32"/>
        </w:rPr>
        <w:t>。老干部大学临聘老师</w:t>
      </w:r>
      <w:r>
        <w:rPr>
          <w:rFonts w:ascii="仿宋_GB2312" w:eastAsia="仿宋_GB2312" w:hAnsi="仿宋_GB2312" w:cs="仿宋_GB2312" w:hint="eastAsia"/>
          <w:sz w:val="32"/>
          <w:szCs w:val="32"/>
        </w:rPr>
        <w:t>101</w:t>
      </w:r>
      <w:r>
        <w:rPr>
          <w:rFonts w:ascii="仿宋_GB2312" w:eastAsia="仿宋_GB2312" w:hAnsi="仿宋_GB2312" w:cs="仿宋_GB2312" w:hint="eastAsia"/>
          <w:sz w:val="32"/>
          <w:szCs w:val="32"/>
        </w:rPr>
        <w:t>人，开设班级</w:t>
      </w:r>
      <w:r>
        <w:rPr>
          <w:rFonts w:ascii="仿宋_GB2312" w:eastAsia="仿宋_GB2312" w:hAnsi="仿宋_GB2312" w:cs="仿宋_GB2312" w:hint="eastAsia"/>
          <w:sz w:val="32"/>
          <w:szCs w:val="32"/>
        </w:rPr>
        <w:t>181</w:t>
      </w:r>
      <w:r>
        <w:rPr>
          <w:rFonts w:ascii="仿宋_GB2312" w:eastAsia="仿宋_GB2312" w:hAnsi="仿宋_GB2312" w:cs="仿宋_GB2312" w:hint="eastAsia"/>
          <w:sz w:val="32"/>
          <w:szCs w:val="32"/>
        </w:rPr>
        <w:t>个。活动中心放映电影</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余场，举办多届乒乓球，扑克牌比赛。二是树立典型示范引领。组织开展老干部“双先”评选和寻找“最美老干部”活动。我省共推荐全国离退休干部先进集体</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个、先进个人</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人，评选出全省离退休干部先进集体</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个、先进个人及最美老干部之星</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 xml:space="preserve"> </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）离退休干部服务保障精准精细</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一是推进信息化建设。开发建设“三湘老干部</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家”微信公众号服务平台，打造老干部“</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家党建、</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家学习、</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家活动、</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家生活”四大功能模块。其中湖南老干部（老年）开放大学平台有</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万人注册，访问突破</w:t>
      </w:r>
      <w:r>
        <w:rPr>
          <w:rFonts w:ascii="仿宋_GB2312" w:eastAsia="仿宋_GB2312" w:hAnsi="仿宋_GB2312" w:cs="仿宋_GB2312" w:hint="eastAsia"/>
          <w:sz w:val="32"/>
          <w:szCs w:val="32"/>
        </w:rPr>
        <w:t>3500</w:t>
      </w:r>
      <w:r>
        <w:rPr>
          <w:rFonts w:ascii="仿宋_GB2312" w:eastAsia="仿宋_GB2312" w:hAnsi="仿宋_GB2312" w:cs="仿宋_GB2312" w:hint="eastAsia"/>
          <w:sz w:val="32"/>
          <w:szCs w:val="32"/>
        </w:rPr>
        <w:t>余万人次。建立全省离退休干部信息库和关工委“五老”人员信息库，录入老同志信息</w:t>
      </w:r>
      <w:r>
        <w:rPr>
          <w:rFonts w:ascii="仿宋_GB2312" w:eastAsia="仿宋_GB2312" w:hAnsi="仿宋_GB2312" w:cs="仿宋_GB2312" w:hint="eastAsia"/>
          <w:sz w:val="32"/>
          <w:szCs w:val="32"/>
        </w:rPr>
        <w:t>41.5</w:t>
      </w:r>
      <w:r>
        <w:rPr>
          <w:rFonts w:ascii="仿宋_GB2312" w:eastAsia="仿宋_GB2312" w:hAnsi="仿宋_GB2312" w:cs="仿宋_GB2312" w:hint="eastAsia"/>
          <w:sz w:val="32"/>
          <w:szCs w:val="32"/>
        </w:rPr>
        <w:t>万条。二是推进精准化服务。认真落实省委老干部工作领导小组会议要求，帮扶困难离退休干部</w:t>
      </w:r>
      <w:r>
        <w:rPr>
          <w:rFonts w:ascii="仿宋_GB2312" w:eastAsia="仿宋_GB2312" w:hAnsi="仿宋_GB2312" w:cs="仿宋_GB2312" w:hint="eastAsia"/>
          <w:sz w:val="32"/>
          <w:szCs w:val="32"/>
        </w:rPr>
        <w:lastRenderedPageBreak/>
        <w:t>及遗孀</w:t>
      </w:r>
      <w:r>
        <w:rPr>
          <w:rFonts w:ascii="仿宋_GB2312" w:eastAsia="仿宋_GB2312" w:hAnsi="仿宋_GB2312" w:cs="仿宋_GB2312" w:hint="eastAsia"/>
          <w:sz w:val="32"/>
          <w:szCs w:val="32"/>
        </w:rPr>
        <w:t>614</w:t>
      </w:r>
      <w:r>
        <w:rPr>
          <w:rFonts w:ascii="仿宋_GB2312" w:eastAsia="仿宋_GB2312" w:hAnsi="仿宋_GB2312" w:cs="仿宋_GB2312" w:hint="eastAsia"/>
          <w:sz w:val="32"/>
          <w:szCs w:val="32"/>
        </w:rPr>
        <w:t>人，发放省直困难企事业单位离休干部津补贴借款</w:t>
      </w:r>
      <w:r>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人，走访慰问易地安置离休干部</w:t>
      </w: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t>人，为</w:t>
      </w:r>
      <w:r>
        <w:rPr>
          <w:rFonts w:ascii="仿宋_GB2312" w:eastAsia="仿宋_GB2312" w:hAnsi="仿宋_GB2312" w:cs="仿宋_GB2312" w:hint="eastAsia"/>
          <w:sz w:val="32"/>
          <w:szCs w:val="32"/>
        </w:rPr>
        <w:t>7331</w:t>
      </w:r>
      <w:r>
        <w:rPr>
          <w:rFonts w:ascii="仿宋_GB2312" w:eastAsia="仿宋_GB2312" w:hAnsi="仿宋_GB2312" w:cs="仿宋_GB2312" w:hint="eastAsia"/>
          <w:sz w:val="32"/>
          <w:szCs w:val="32"/>
        </w:rPr>
        <w:t>名离休干部颁发“庆祝中华人民共和国成立七十周年”纪念章，把党委和政府的关爱送到老同志的心坎上。省老干所按规定报销老干部医疗费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人，组织老干部全面体检</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次，为离休干部、遗孀进行健康巡诊</w:t>
      </w:r>
      <w:r>
        <w:rPr>
          <w:rFonts w:ascii="仿宋_GB2312" w:eastAsia="仿宋_GB2312" w:hAnsi="仿宋_GB2312" w:cs="仿宋_GB2312" w:hint="eastAsia"/>
          <w:sz w:val="32"/>
          <w:szCs w:val="32"/>
        </w:rPr>
        <w:t>240</w:t>
      </w:r>
      <w:r>
        <w:rPr>
          <w:rFonts w:ascii="仿宋_GB2312" w:eastAsia="仿宋_GB2312" w:hAnsi="仿宋_GB2312" w:cs="仿宋_GB2312" w:hint="eastAsia"/>
          <w:sz w:val="32"/>
          <w:szCs w:val="32"/>
        </w:rPr>
        <w:t>次，地坪提质改造</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平方米。省老干部活动中心维护修缮办公楼面积</w:t>
      </w: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rPr>
        <w:t>万平方米，保障物业服务面积</w:t>
      </w:r>
      <w:r>
        <w:rPr>
          <w:rFonts w:ascii="仿宋_GB2312" w:eastAsia="仿宋_GB2312" w:hAnsi="仿宋_GB2312" w:cs="仿宋_GB2312" w:hint="eastAsia"/>
          <w:sz w:val="32"/>
          <w:szCs w:val="32"/>
        </w:rPr>
        <w:t>14.89</w:t>
      </w:r>
      <w:r>
        <w:rPr>
          <w:rFonts w:ascii="仿宋_GB2312" w:eastAsia="仿宋_GB2312" w:hAnsi="仿宋_GB2312" w:cs="仿宋_GB2312" w:hint="eastAsia"/>
          <w:sz w:val="32"/>
          <w:szCs w:val="32"/>
        </w:rPr>
        <w:t>万平方米。老年人杂志社全年发行杂志</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万份。</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）老干部工作自身建设向上向好</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一是压实党建责任。制定了《中共湖南省委老干部局落实意识形态工作责任制实施方案》，全年组织中心组学习</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次，组织了加强政治能力建设专题培训班、新时代意识形态工作专题辅导讲座、党务和纪检骨干专题培训等。二是狠抓队伍建设。制定实施省委老干部局《干部职工考核实施办法（试行）》等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个文件，积极推进选人用人巡视整改工作。全年局系统共提拔干部</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人。开展了</w:t>
      </w:r>
      <w:r>
        <w:rPr>
          <w:rFonts w:ascii="仿宋_GB2312" w:eastAsia="仿宋_GB2312" w:hAnsi="仿宋_GB2312" w:cs="仿宋_GB2312" w:hint="eastAsia"/>
          <w:sz w:val="32"/>
          <w:szCs w:val="32"/>
        </w:rPr>
        <w:t>局系统公务员职务与职级并行工作，原非领导职务干部</w:t>
      </w:r>
      <w:r>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t>人套转为相应职级</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人；启动了公务员职级晋升工作，</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名同志获得晋升；对</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名局系统正处级领导干部进行了轮岗交流。三是促进作风转变。积极配合省委第一巡视组开展政治巡视，把巡视问题整改与主题教育检视问题整改一体推进，</w:t>
      </w:r>
      <w:r>
        <w:rPr>
          <w:rFonts w:ascii="仿宋_GB2312" w:eastAsia="仿宋_GB2312" w:hAnsi="仿宋_GB2312" w:cs="仿宋_GB2312" w:hint="eastAsia"/>
          <w:sz w:val="32"/>
          <w:szCs w:val="32"/>
        </w:rPr>
        <w:t>87</w:t>
      </w:r>
      <w:r>
        <w:rPr>
          <w:rFonts w:ascii="仿宋_GB2312" w:eastAsia="仿宋_GB2312" w:hAnsi="仿宋_GB2312" w:cs="仿宋_GB2312" w:hint="eastAsia"/>
          <w:sz w:val="32"/>
          <w:szCs w:val="32"/>
        </w:rPr>
        <w:t>个整改问题已基本完成整改的</w:t>
      </w: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个、长期坚持的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个、继续整改的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个；坚</w:t>
      </w:r>
      <w:r>
        <w:rPr>
          <w:rFonts w:ascii="仿宋_GB2312" w:eastAsia="仿宋_GB2312" w:hAnsi="仿宋_GB2312" w:cs="仿宋_GB2312" w:hint="eastAsia"/>
          <w:sz w:val="32"/>
          <w:szCs w:val="32"/>
        </w:rPr>
        <w:lastRenderedPageBreak/>
        <w:t>持把脱贫攻坚作为一项政治任务，全年投入</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多万元；按照省委要求，组织对洪江市、华容县开展了</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轮常态化联点督查。四是提升基础设施质量，全年采购资产</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件。</w:t>
      </w:r>
    </w:p>
    <w:p w:rsidR="006D3C3F" w:rsidRDefault="006E2DFB">
      <w:pPr>
        <w:spacing w:line="600" w:lineRule="exact"/>
        <w:ind w:firstLineChars="200" w:firstLine="643"/>
        <w:rPr>
          <w:rFonts w:ascii="仿宋_GB2312" w:eastAsia="仿宋_GB2312" w:hAnsi="仿宋_GB2312" w:cs="仿宋_GB2312"/>
          <w:b/>
          <w:bCs/>
          <w:sz w:val="32"/>
          <w:szCs w:val="32"/>
        </w:rPr>
      </w:pPr>
      <w:bookmarkStart w:id="24" w:name="_Toc42327124"/>
      <w:bookmarkStart w:id="25" w:name="_Toc42869211"/>
      <w:bookmarkEnd w:id="23"/>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．质量指标</w:t>
      </w:r>
      <w:bookmarkEnd w:id="24"/>
      <w:bookmarkEnd w:id="25"/>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根据（湘组﹝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号）文件要求，为体现省委、省政府对第一、二次革命战争时期参加革命工作的老同志的关心照顾，同时也为保障他们的生活质量水平，将他们生活补贴标准提高，</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年老红军高龄补助统计发放率达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）根据《省直单位特困离退休干部及遗孀帮扶资金管理使用暂行办法》（湘老干﹝</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号）指标文精神，拟对符合条件的</w:t>
      </w:r>
      <w:r>
        <w:rPr>
          <w:rFonts w:ascii="仿宋_GB2312" w:eastAsia="仿宋_GB2312" w:hAnsi="仿宋_GB2312" w:cs="仿宋_GB2312" w:hint="eastAsia"/>
          <w:sz w:val="32"/>
          <w:szCs w:val="32"/>
        </w:rPr>
        <w:t>614</w:t>
      </w:r>
      <w:r>
        <w:rPr>
          <w:rFonts w:ascii="仿宋_GB2312" w:eastAsia="仿宋_GB2312" w:hAnsi="仿宋_GB2312" w:cs="仿宋_GB2312" w:hint="eastAsia"/>
          <w:sz w:val="32"/>
          <w:szCs w:val="32"/>
        </w:rPr>
        <w:t>名对象进行帮扶，实际帮扶人数</w:t>
      </w:r>
      <w:r>
        <w:rPr>
          <w:rFonts w:ascii="仿宋_GB2312" w:eastAsia="仿宋_GB2312" w:hAnsi="仿宋_GB2312" w:cs="仿宋_GB2312" w:hint="eastAsia"/>
          <w:sz w:val="32"/>
          <w:szCs w:val="32"/>
        </w:rPr>
        <w:t>614</w:t>
      </w:r>
      <w:r>
        <w:rPr>
          <w:rFonts w:ascii="仿宋_GB2312" w:eastAsia="仿宋_GB2312" w:hAnsi="仿宋_GB2312" w:cs="仿宋_GB2312" w:hint="eastAsia"/>
          <w:sz w:val="32"/>
          <w:szCs w:val="32"/>
        </w:rPr>
        <w:t>人，帮扶率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）省老干所全年共计开支医疗费</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万元，为合规的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名离休干部予以医疗费报销，离休干部医疗费报销率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）省老干所院内道路因年久失修，陈旧老化，导致地面坑坑洼洼，为了让老干部能在院里住得放心，走得稳心，对院内道路进行了提质改造，现地坪改造完成率为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）为做好“三个表率”、建设“模范机关”，推动各级党组织认真履行职责、扎实开展工作、勇于担当作为，举办了局系统党务纪检骨干培训班，组织干部职工开展网上普法学习，增加普法意识，考试合格率达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）根据《关于规范省直在长沙市区内企事业单位离休干部生活补贴有关问题的通知》（湘老干﹝</w:t>
      </w:r>
      <w:r>
        <w:rPr>
          <w:rFonts w:ascii="仿宋_GB2312" w:eastAsia="仿宋_GB2312" w:hAnsi="仿宋_GB2312" w:cs="仿宋_GB2312" w:hint="eastAsia"/>
          <w:sz w:val="32"/>
          <w:szCs w:val="32"/>
        </w:rPr>
        <w:t>2004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号），由主管部门审查，经我部门核实离休干部人数和发放标准，省财政厅审核并报省政府批准后，逐月发放给离休干部个人，确保资金落实发放到位。省直困难企事业单位离休干部津补贴借款发放率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6D3C3F" w:rsidRDefault="006E2DFB">
      <w:pPr>
        <w:spacing w:line="600" w:lineRule="exact"/>
        <w:ind w:firstLineChars="200" w:firstLine="643"/>
        <w:rPr>
          <w:rFonts w:ascii="仿宋_GB2312" w:eastAsia="仿宋_GB2312" w:hAnsi="仿宋_GB2312" w:cs="仿宋_GB2312"/>
          <w:b/>
          <w:bCs/>
          <w:sz w:val="32"/>
          <w:szCs w:val="32"/>
        </w:rPr>
      </w:pPr>
      <w:bookmarkStart w:id="26" w:name="_Toc42869212"/>
      <w:bookmarkStart w:id="27" w:name="_Toc42327125"/>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．时效指标</w:t>
      </w:r>
      <w:bookmarkEnd w:id="26"/>
      <w:bookmarkEnd w:id="27"/>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所有项目均在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月底前完成，完成及时率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6D3C3F" w:rsidRDefault="006E2DFB">
      <w:pPr>
        <w:spacing w:line="600" w:lineRule="exact"/>
        <w:ind w:firstLineChars="200" w:firstLine="643"/>
        <w:rPr>
          <w:rFonts w:ascii="仿宋_GB2312" w:eastAsia="仿宋_GB2312" w:hAnsi="仿宋_GB2312" w:cs="仿宋_GB2312"/>
          <w:b/>
          <w:bCs/>
          <w:sz w:val="32"/>
          <w:szCs w:val="32"/>
        </w:rPr>
      </w:pPr>
      <w:bookmarkStart w:id="28" w:name="_Toc42327126"/>
      <w:bookmarkStart w:id="29" w:name="_Toc42869213"/>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．成本指标</w:t>
      </w:r>
      <w:bookmarkEnd w:id="28"/>
      <w:bookmarkEnd w:id="29"/>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为积极贯彻“过紧日子”的思想，达到勤俭节约、不奢侈浪费的要求，同时为了确保每一分钱都能落到实处，本部门对部分项目支出做了成本指标，且全部</w:t>
      </w:r>
      <w:r>
        <w:rPr>
          <w:rFonts w:ascii="仿宋_GB2312" w:eastAsia="仿宋_GB2312" w:hAnsi="仿宋_GB2312" w:cs="仿宋_GB2312" w:hint="eastAsia"/>
          <w:sz w:val="32"/>
          <w:szCs w:val="32"/>
        </w:rPr>
        <w:t>按指标要求完成。指标如下：</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年采购货物成本不超过</w:t>
      </w:r>
      <w:r>
        <w:rPr>
          <w:rFonts w:ascii="仿宋_GB2312" w:eastAsia="仿宋_GB2312" w:hAnsi="仿宋_GB2312" w:cs="仿宋_GB2312" w:hint="eastAsia"/>
          <w:sz w:val="32"/>
          <w:szCs w:val="32"/>
        </w:rPr>
        <w:t>27.2</w:t>
      </w:r>
      <w:r>
        <w:rPr>
          <w:rFonts w:ascii="仿宋_GB2312" w:eastAsia="仿宋_GB2312" w:hAnsi="仿宋_GB2312" w:cs="仿宋_GB2312" w:hint="eastAsia"/>
          <w:sz w:val="32"/>
          <w:szCs w:val="32"/>
        </w:rPr>
        <w:t>万元，实际采购成本</w:t>
      </w:r>
      <w:r>
        <w:rPr>
          <w:rFonts w:ascii="仿宋_GB2312" w:eastAsia="仿宋_GB2312" w:hAnsi="仿宋_GB2312" w:cs="仿宋_GB2312" w:hint="eastAsia"/>
          <w:sz w:val="32"/>
          <w:szCs w:val="32"/>
        </w:rPr>
        <w:t>21.16</w:t>
      </w:r>
      <w:r>
        <w:rPr>
          <w:rFonts w:ascii="仿宋_GB2312" w:eastAsia="仿宋_GB2312" w:hAnsi="仿宋_GB2312" w:cs="仿宋_GB2312" w:hint="eastAsia"/>
          <w:sz w:val="32"/>
          <w:szCs w:val="32"/>
        </w:rPr>
        <w:t>万元。</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年培训经费不超过</w:t>
      </w: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万元，实际使用</w:t>
      </w:r>
      <w:r w:rsidR="003A7836">
        <w:rPr>
          <w:rFonts w:ascii="仿宋_GB2312" w:eastAsia="仿宋_GB2312" w:hAnsi="仿宋_GB2312" w:cs="仿宋_GB2312" w:hint="eastAsia"/>
          <w:sz w:val="32"/>
          <w:szCs w:val="32"/>
        </w:rPr>
        <w:t>64.53</w:t>
      </w:r>
      <w:r>
        <w:rPr>
          <w:rFonts w:ascii="仿宋_GB2312" w:eastAsia="仿宋_GB2312" w:hAnsi="仿宋_GB2312" w:cs="仿宋_GB2312" w:hint="eastAsia"/>
          <w:sz w:val="32"/>
          <w:szCs w:val="32"/>
        </w:rPr>
        <w:t>万元。</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）根据《省直单位特困离退休干部及遗孀帮扶资金管理使用暂行办法》文件要求，对于</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年帮扶困难离退休干部及遗孀每人补助金额范围为</w:t>
      </w:r>
      <w:r>
        <w:rPr>
          <w:rFonts w:ascii="仿宋_GB2312" w:eastAsia="仿宋_GB2312" w:hAnsi="仿宋_GB2312" w:cs="仿宋_GB2312" w:hint="eastAsia"/>
          <w:sz w:val="32"/>
          <w:szCs w:val="32"/>
        </w:rPr>
        <w:t>1000-5000</w:t>
      </w:r>
      <w:r>
        <w:rPr>
          <w:rFonts w:ascii="仿宋_GB2312" w:eastAsia="仿宋_GB2312" w:hAnsi="仿宋_GB2312" w:cs="仿宋_GB2312" w:hint="eastAsia"/>
          <w:sz w:val="32"/>
          <w:szCs w:val="32"/>
        </w:rPr>
        <w:t>元，实际单人最高补助金额为</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）省老干部活动中心临聘教师人员总成本不超过</w:t>
      </w:r>
      <w:r>
        <w:rPr>
          <w:rFonts w:ascii="仿宋_GB2312" w:eastAsia="仿宋_GB2312" w:hAnsi="仿宋_GB2312" w:cs="仿宋_GB2312" w:hint="eastAsia"/>
          <w:sz w:val="32"/>
          <w:szCs w:val="32"/>
        </w:rPr>
        <w:t>260</w:t>
      </w:r>
      <w:r>
        <w:rPr>
          <w:rFonts w:ascii="仿宋_GB2312" w:eastAsia="仿宋_GB2312" w:hAnsi="仿宋_GB2312" w:cs="仿宋_GB2312" w:hint="eastAsia"/>
          <w:sz w:val="32"/>
          <w:szCs w:val="32"/>
        </w:rPr>
        <w:t>万元，实际使用</w:t>
      </w:r>
      <w:r>
        <w:rPr>
          <w:rFonts w:ascii="仿宋_GB2312" w:eastAsia="仿宋_GB2312" w:hAnsi="仿宋_GB2312" w:cs="仿宋_GB2312" w:hint="eastAsia"/>
          <w:sz w:val="32"/>
          <w:szCs w:val="32"/>
        </w:rPr>
        <w:t>256.67</w:t>
      </w:r>
      <w:r>
        <w:rPr>
          <w:rFonts w:ascii="仿宋_GB2312" w:eastAsia="仿宋_GB2312" w:hAnsi="仿宋_GB2312" w:cs="仿宋_GB2312" w:hint="eastAsia"/>
          <w:sz w:val="32"/>
          <w:szCs w:val="32"/>
        </w:rPr>
        <w:t>万元。</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）维修修缮总成本不超过</w:t>
      </w:r>
      <w:r>
        <w:rPr>
          <w:rFonts w:ascii="仿宋_GB2312" w:eastAsia="仿宋_GB2312" w:hAnsi="仿宋_GB2312" w:cs="仿宋_GB2312" w:hint="eastAsia"/>
          <w:sz w:val="32"/>
          <w:szCs w:val="32"/>
        </w:rPr>
        <w:t>380</w:t>
      </w:r>
      <w:r>
        <w:rPr>
          <w:rFonts w:ascii="仿宋_GB2312" w:eastAsia="仿宋_GB2312" w:hAnsi="仿宋_GB2312" w:cs="仿宋_GB2312" w:hint="eastAsia"/>
          <w:sz w:val="32"/>
          <w:szCs w:val="32"/>
        </w:rPr>
        <w:t>万元，实际使用</w:t>
      </w:r>
      <w:r>
        <w:rPr>
          <w:rFonts w:ascii="仿宋_GB2312" w:eastAsia="仿宋_GB2312" w:hAnsi="仿宋_GB2312" w:cs="仿宋_GB2312" w:hint="eastAsia"/>
          <w:sz w:val="32"/>
          <w:szCs w:val="32"/>
        </w:rPr>
        <w:t>375.55</w:t>
      </w:r>
      <w:r>
        <w:rPr>
          <w:rFonts w:ascii="仿宋_GB2312" w:eastAsia="仿宋_GB2312" w:hAnsi="仿宋_GB2312" w:cs="仿宋_GB2312" w:hint="eastAsia"/>
          <w:sz w:val="32"/>
          <w:szCs w:val="32"/>
        </w:rPr>
        <w:t>万元。</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）省老干部活动中心二期工程建造成本不超过</w:t>
      </w:r>
      <w:r>
        <w:rPr>
          <w:rFonts w:ascii="仿宋_GB2312" w:eastAsia="仿宋_GB2312" w:hAnsi="仿宋_GB2312" w:cs="仿宋_GB2312" w:hint="eastAsia"/>
          <w:sz w:val="32"/>
          <w:szCs w:val="32"/>
        </w:rPr>
        <w:t>1370</w:t>
      </w:r>
      <w:r>
        <w:rPr>
          <w:rFonts w:ascii="仿宋_GB2312" w:eastAsia="仿宋_GB2312" w:hAnsi="仿宋_GB2312" w:cs="仿宋_GB2312" w:hint="eastAsia"/>
          <w:sz w:val="32"/>
          <w:szCs w:val="32"/>
        </w:rPr>
        <w:t>万元，实际使用</w:t>
      </w:r>
      <w:r>
        <w:rPr>
          <w:rFonts w:ascii="仿宋_GB2312" w:eastAsia="仿宋_GB2312" w:hAnsi="仿宋_GB2312" w:cs="仿宋_GB2312" w:hint="eastAsia"/>
          <w:sz w:val="32"/>
          <w:szCs w:val="32"/>
        </w:rPr>
        <w:t>1368.68</w:t>
      </w:r>
      <w:r>
        <w:rPr>
          <w:rFonts w:ascii="仿宋_GB2312" w:eastAsia="仿宋_GB2312" w:hAnsi="仿宋_GB2312" w:cs="仿宋_GB2312" w:hint="eastAsia"/>
          <w:sz w:val="32"/>
          <w:szCs w:val="32"/>
        </w:rPr>
        <w:t>万元。</w:t>
      </w:r>
    </w:p>
    <w:p w:rsidR="006D3C3F" w:rsidRDefault="006E2DFB">
      <w:pPr>
        <w:spacing w:line="600" w:lineRule="exact"/>
        <w:ind w:firstLineChars="200" w:firstLine="640"/>
        <w:rPr>
          <w:rFonts w:ascii="楷体" w:eastAsia="楷体" w:hAnsi="楷体"/>
          <w:bCs/>
          <w:sz w:val="32"/>
          <w:szCs w:val="32"/>
        </w:rPr>
      </w:pPr>
      <w:bookmarkStart w:id="30" w:name="_Toc42327127"/>
      <w:bookmarkStart w:id="31" w:name="_Toc41935049"/>
      <w:bookmarkStart w:id="32" w:name="_Toc42869214"/>
      <w:r>
        <w:rPr>
          <w:rFonts w:ascii="楷体" w:eastAsia="楷体" w:hAnsi="楷体" w:hint="eastAsia"/>
          <w:bCs/>
          <w:sz w:val="32"/>
          <w:szCs w:val="32"/>
        </w:rPr>
        <w:t>（二）效益指标完成情况分析</w:t>
      </w:r>
      <w:bookmarkEnd w:id="30"/>
      <w:bookmarkEnd w:id="31"/>
      <w:bookmarkEnd w:id="32"/>
    </w:p>
    <w:p w:rsidR="006D3C3F" w:rsidRDefault="006E2DFB">
      <w:pPr>
        <w:spacing w:line="600" w:lineRule="exact"/>
        <w:ind w:firstLineChars="200" w:firstLine="643"/>
        <w:rPr>
          <w:rFonts w:ascii="仿宋_GB2312" w:eastAsia="仿宋_GB2312" w:hAnsi="仿宋_GB2312" w:cs="仿宋_GB2312"/>
          <w:b/>
          <w:bCs/>
          <w:sz w:val="32"/>
          <w:szCs w:val="32"/>
        </w:rPr>
      </w:pPr>
      <w:bookmarkStart w:id="33" w:name="_Toc42327128"/>
      <w:bookmarkStart w:id="34" w:name="_Toc42869215"/>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．可持续影响指标</w:t>
      </w:r>
      <w:bookmarkEnd w:id="33"/>
      <w:bookmarkEnd w:id="34"/>
    </w:p>
    <w:p w:rsidR="006D3C3F" w:rsidRDefault="006E2DFB">
      <w:pPr>
        <w:spacing w:line="600" w:lineRule="exact"/>
        <w:ind w:firstLineChars="200" w:firstLine="640"/>
        <w:rPr>
          <w:rFonts w:ascii="仿宋_GB2312" w:eastAsia="仿宋_GB2312" w:hAnsi="仿宋_GB2312" w:cs="仿宋_GB2312"/>
          <w:sz w:val="32"/>
          <w:szCs w:val="32"/>
        </w:rPr>
      </w:pPr>
      <w:bookmarkStart w:id="35" w:name="_Hlk42615748"/>
      <w:bookmarkStart w:id="36" w:name="_Toc41935050"/>
      <w:bookmarkStart w:id="37" w:name="_Toc42327129"/>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）进一步推进了离退休干部“三项建设”</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通过集中宣讲、形势报告、支部学习、网络培训等型式，组织老同志开展十九届四中全会精神等专题学习，引导他们进一步坚定“四个自信”，增强“四个意识”，做到“两个维护”。二是通过召开省直离退休干部党建工作经验现场交流暨离退休干部党支部书记“不忘初心、牢记使命”主题教育网络培训动员会，组织指导全省离退休干部党员同步开展“不忘初心、牢记使</w:t>
      </w:r>
      <w:r>
        <w:rPr>
          <w:rFonts w:ascii="仿宋_GB2312" w:eastAsia="仿宋_GB2312" w:hAnsi="仿宋_GB2312" w:cs="仿宋_GB2312" w:hint="eastAsia"/>
          <w:sz w:val="32"/>
          <w:szCs w:val="32"/>
        </w:rPr>
        <w:t>命”主题教育，充分发挥湖南老干部党校的阵地作用。三是通过不断完善离退休干部党支部“五化”建设和“五好”示范创建活动，积极应对机构改革出现的新情况新问题，主动争取领导重视和有关部门支持等，推进完善市县两级离退休干部工委体系建设。</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）进一步深化了老同志正能量活动</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一是通过开展系列主题活动，吸引了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多个省直单位，近</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人参加，充分表达了老干部对祖国的热爱，对下一代的关爱之情。二是激励老干部参与经济社会建设、传递正能量，数万名老同志在政策宣传、党建督查、精准扶贫、综</w:t>
      </w:r>
      <w:r>
        <w:rPr>
          <w:rFonts w:ascii="仿宋_GB2312" w:eastAsia="仿宋_GB2312" w:hAnsi="仿宋_GB2312" w:cs="仿宋_GB2312" w:hint="eastAsia"/>
          <w:sz w:val="32"/>
          <w:szCs w:val="32"/>
        </w:rPr>
        <w:lastRenderedPageBreak/>
        <w:t>治维稳等方面奉献力量。三是通过典型示范</w:t>
      </w:r>
      <w:r>
        <w:rPr>
          <w:rFonts w:ascii="仿宋_GB2312" w:eastAsia="仿宋_GB2312" w:hAnsi="仿宋_GB2312" w:cs="仿宋_GB2312" w:hint="eastAsia"/>
          <w:sz w:val="32"/>
          <w:szCs w:val="32"/>
        </w:rPr>
        <w:t>引领，在广大老干部中形成了比学赶超、争当先进的浓厚氛围。</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）进一步强化了离退休干部服务保障</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出台《关于一人一策精准服务离休干部的意见》《关于调整离休干部无固定收入遗孀配偶生活补助费标准等事项的通知》，提高省级干部自雇费补贴标准和离休干部护理费标准，完善离退休干部节日慰问机制，保障和规范省直机关离退休干部学习用房、活动场所和服务用车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做好省直在长企业离休干部“三供一业”物业服务补贴发放的相关工作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加强特困离退休干部及遗孀帮扶工作。二是全面落实省委关于老干部工作的新要求新部署，编印《老干部工作文件选</w:t>
      </w:r>
      <w:r>
        <w:rPr>
          <w:rFonts w:ascii="仿宋_GB2312" w:eastAsia="仿宋_GB2312" w:hAnsi="仿宋_GB2312" w:cs="仿宋_GB2312" w:hint="eastAsia"/>
          <w:sz w:val="32"/>
          <w:szCs w:val="32"/>
        </w:rPr>
        <w:t>编（六）》，不断提高工作的规范化水平。按照家毫书记“打造离退休干部政治引领重要阵地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发挥作用的广阔舞台，文化养老的精神家园”的要求，建设离退休干部党员教育室，在省老干部活动中心倾情打造“老领导学习活动室”，为老领导参加学习活动提供个性化、精细化、专业化服务。</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）进一步加强了老干部工作部门自身建设</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大力开展“不忘初心、牢记使命”主题教育，把学和做结合起来、查和改贯通起来，边学边研边查边改，提高了主题教育质量。二是对局机关处室职能进行了调整优化。体现了党管干部、事业为上、人岗相适、人事相宜的原则，激发了</w:t>
      </w:r>
      <w:r>
        <w:rPr>
          <w:rFonts w:ascii="仿宋_GB2312" w:eastAsia="仿宋_GB2312" w:hAnsi="仿宋_GB2312" w:cs="仿宋_GB2312" w:hint="eastAsia"/>
          <w:sz w:val="32"/>
          <w:szCs w:val="32"/>
        </w:rPr>
        <w:t>广大干部的内生动力。三是以突出问题为导向，深入部分市州和省直单位开展调查，广泛听取基层和老同志的意</w:t>
      </w:r>
      <w:r>
        <w:rPr>
          <w:rFonts w:ascii="仿宋_GB2312" w:eastAsia="仿宋_GB2312" w:hAnsi="仿宋_GB2312" w:cs="仿宋_GB2312" w:hint="eastAsia"/>
          <w:sz w:val="32"/>
          <w:szCs w:val="32"/>
        </w:rPr>
        <w:lastRenderedPageBreak/>
        <w:t>见建议，帮他们解决实际困难；有序推进文明创建工作，扎实开展“平安单位”创建工作；积极完成问题整改，有效解决了一批历史遗留问题，构建了风清气正的政治生态。</w:t>
      </w:r>
      <w:bookmarkEnd w:id="35"/>
    </w:p>
    <w:p w:rsidR="006D3C3F" w:rsidRDefault="006E2DFB">
      <w:pPr>
        <w:spacing w:line="600" w:lineRule="exact"/>
        <w:ind w:firstLineChars="200" w:firstLine="640"/>
        <w:rPr>
          <w:rFonts w:ascii="楷体" w:eastAsia="楷体" w:hAnsi="楷体"/>
          <w:bCs/>
          <w:sz w:val="32"/>
          <w:szCs w:val="32"/>
        </w:rPr>
      </w:pPr>
      <w:bookmarkStart w:id="38" w:name="_Toc42869216"/>
      <w:bookmarkStart w:id="39" w:name="_Toc42327130"/>
      <w:bookmarkStart w:id="40" w:name="_Toc41935051"/>
      <w:bookmarkStart w:id="41" w:name="_Toc41935052"/>
      <w:bookmarkEnd w:id="36"/>
      <w:bookmarkEnd w:id="37"/>
      <w:r>
        <w:rPr>
          <w:rFonts w:ascii="楷体" w:eastAsia="楷体" w:hAnsi="楷体" w:hint="eastAsia"/>
          <w:bCs/>
          <w:sz w:val="32"/>
          <w:szCs w:val="32"/>
        </w:rPr>
        <w:t>（三）满意度指标情况分析</w:t>
      </w:r>
      <w:bookmarkEnd w:id="38"/>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老干部对省委老干部局工作满意度达</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p>
    <w:p w:rsidR="006D3C3F" w:rsidRDefault="006E2DFB">
      <w:pPr>
        <w:spacing w:line="560" w:lineRule="exact"/>
        <w:ind w:firstLineChars="200" w:firstLine="640"/>
        <w:jc w:val="left"/>
        <w:outlineLvl w:val="1"/>
        <w:rPr>
          <w:rFonts w:ascii="黑体" w:eastAsia="黑体" w:hAnsi="黑体"/>
          <w:bCs/>
          <w:sz w:val="32"/>
          <w:szCs w:val="32"/>
        </w:rPr>
      </w:pPr>
      <w:bookmarkStart w:id="42" w:name="_Toc42869217"/>
      <w:r>
        <w:rPr>
          <w:rFonts w:ascii="黑体" w:eastAsia="黑体" w:hAnsi="黑体" w:hint="eastAsia"/>
          <w:bCs/>
          <w:sz w:val="32"/>
          <w:szCs w:val="32"/>
        </w:rPr>
        <w:t>四、综合评价情况及评价结论</w:t>
      </w:r>
      <w:bookmarkEnd w:id="39"/>
      <w:bookmarkEnd w:id="40"/>
      <w:bookmarkEnd w:id="42"/>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委老干部局精准把握老干部工作的着力点、关键点、落脚点，结合本省各地区的实际情况，以推进离退休干部“三项建设”，发挥老干部优势作用，加强信息化、精准化、规范化建设，加强自身建设为重点，合理确定工作任务目标，保障老干部政治待遇、生活待遇和老干部的合法权益。总体上，各项目均能根据总体工作计划开展，形成了统一领导、目标集中、监检分离、分工明确的项目管理体系。基本做到事前有目标、事中有控制、事后有总结，确保资金得到有效监管。根据《</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年度中共省委老干部局绩效自评评价表》，从预算执行情况、年度目标完成情况、年度绩</w:t>
      </w:r>
      <w:r>
        <w:rPr>
          <w:rFonts w:ascii="仿宋_GB2312" w:eastAsia="仿宋_GB2312" w:hAnsi="仿宋_GB2312" w:cs="仿宋_GB2312" w:hint="eastAsia"/>
          <w:sz w:val="32"/>
          <w:szCs w:val="32"/>
        </w:rPr>
        <w:t>效指标完成情况等方面逐一评分。</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年度中共湖南省委老干部局绩效评分得分为</w:t>
      </w:r>
      <w:r>
        <w:rPr>
          <w:rFonts w:ascii="仿宋_GB2312" w:eastAsia="仿宋_GB2312" w:hAnsi="仿宋_GB2312" w:cs="仿宋_GB2312" w:hint="eastAsia"/>
          <w:sz w:val="32"/>
          <w:szCs w:val="32"/>
        </w:rPr>
        <w:t>94</w:t>
      </w:r>
      <w:r>
        <w:rPr>
          <w:rFonts w:ascii="仿宋_GB2312" w:eastAsia="仿宋_GB2312" w:hAnsi="仿宋_GB2312" w:cs="仿宋_GB2312" w:hint="eastAsia"/>
          <w:sz w:val="32"/>
          <w:szCs w:val="32"/>
        </w:rPr>
        <w:t>分，综合评价得分</w:t>
      </w:r>
      <w:r>
        <w:rPr>
          <w:rFonts w:ascii="仿宋_GB2312" w:eastAsia="仿宋_GB2312" w:hAnsi="仿宋_GB2312" w:cs="仿宋_GB2312" w:hint="eastAsia"/>
          <w:sz w:val="32"/>
          <w:szCs w:val="32"/>
        </w:rPr>
        <w:t>94</w:t>
      </w:r>
      <w:r>
        <w:rPr>
          <w:rFonts w:ascii="仿宋_GB2312" w:eastAsia="仿宋_GB2312" w:hAnsi="仿宋_GB2312" w:cs="仿宋_GB2312" w:hint="eastAsia"/>
          <w:sz w:val="32"/>
          <w:szCs w:val="32"/>
        </w:rPr>
        <w:t>分，其中扣分项为两项，一是离退休干部党组织建设标准化程度不高；二是工作规范化程度不够，预算中基本支出与项目支出分类不规范。</w:t>
      </w:r>
    </w:p>
    <w:p w:rsidR="006D3C3F" w:rsidRDefault="006E2DFB">
      <w:pPr>
        <w:spacing w:line="560" w:lineRule="exact"/>
        <w:ind w:firstLineChars="200" w:firstLine="640"/>
        <w:jc w:val="left"/>
        <w:outlineLvl w:val="1"/>
        <w:rPr>
          <w:rFonts w:ascii="黑体" w:eastAsia="黑体" w:hAnsi="黑体"/>
          <w:bCs/>
          <w:sz w:val="32"/>
          <w:szCs w:val="32"/>
        </w:rPr>
      </w:pPr>
      <w:bookmarkStart w:id="43" w:name="_Toc42327131"/>
      <w:bookmarkStart w:id="44" w:name="_Toc42869218"/>
      <w:r>
        <w:rPr>
          <w:rFonts w:ascii="黑体" w:eastAsia="黑体" w:hAnsi="黑体" w:hint="eastAsia"/>
          <w:bCs/>
          <w:sz w:val="32"/>
          <w:szCs w:val="32"/>
        </w:rPr>
        <w:t>五、存在的问题及原因分析</w:t>
      </w:r>
      <w:bookmarkEnd w:id="41"/>
      <w:bookmarkEnd w:id="43"/>
      <w:bookmarkEnd w:id="44"/>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（一）开展业务经费存在缺口，导致全省老干部工作在地区间、行业间发展不够平衡；离退休干部党组织建设标准</w:t>
      </w:r>
      <w:r>
        <w:rPr>
          <w:rFonts w:ascii="仿宋_GB2312" w:eastAsia="仿宋_GB2312" w:hAnsi="仿宋_GB2312" w:cs="仿宋_GB2312" w:hint="eastAsia"/>
          <w:sz w:val="32"/>
          <w:szCs w:val="32"/>
        </w:rPr>
        <w:lastRenderedPageBreak/>
        <w:t>化程度不高；老干部工作队伍能力素质亟待提升。</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（二）因受不确定因素影响，年中有调整指标现象发生。因发放绩效考核及综合治理奖金追加人员经费，压减一般性支出收回指标，导致当年的预算执行率受到影响。</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（三）由于预算绩效管理理念固于传统，缺乏科学的整体预算绩效管理体系，且评价管理方法没有与实际相结合，导致现有预算绩效管理及评价体系不完善，缺乏统一明确的绩效目标指标体系。</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（四）资金决算数超预算数较大。一是因为资金预算限制，导致资金有缺口，无法满足每年正常工作资金需求；二是决算数据填写有误，未按每年实际支付的金额填写。</w:t>
      </w:r>
    </w:p>
    <w:p w:rsidR="006D3C3F" w:rsidRDefault="006E2DFB">
      <w:pPr>
        <w:spacing w:line="560" w:lineRule="exact"/>
        <w:ind w:firstLineChars="200" w:firstLine="640"/>
        <w:jc w:val="left"/>
        <w:outlineLvl w:val="1"/>
        <w:rPr>
          <w:rFonts w:ascii="黑体" w:eastAsia="黑体" w:hAnsi="黑体"/>
          <w:bCs/>
          <w:sz w:val="32"/>
          <w:szCs w:val="32"/>
        </w:rPr>
      </w:pPr>
      <w:bookmarkStart w:id="45" w:name="_Toc42327132"/>
      <w:bookmarkStart w:id="46" w:name="_Toc41935053"/>
      <w:bookmarkStart w:id="47" w:name="_Toc42869219"/>
      <w:r>
        <w:rPr>
          <w:rFonts w:ascii="黑体" w:eastAsia="黑体" w:hAnsi="黑体" w:hint="eastAsia"/>
          <w:bCs/>
          <w:sz w:val="32"/>
          <w:szCs w:val="32"/>
        </w:rPr>
        <w:t>六、下一步改进措施</w:t>
      </w:r>
      <w:bookmarkEnd w:id="45"/>
      <w:bookmarkEnd w:id="46"/>
      <w:bookmarkEnd w:id="47"/>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（一）找到全省老干部工</w:t>
      </w:r>
      <w:r>
        <w:rPr>
          <w:rFonts w:ascii="仿宋_GB2312" w:eastAsia="仿宋_GB2312" w:hAnsi="仿宋_GB2312" w:cs="仿宋_GB2312" w:hint="eastAsia"/>
          <w:sz w:val="32"/>
          <w:szCs w:val="32"/>
        </w:rPr>
        <w:t>作在地区间、行业间发展不够平衡的差异原因，同时请求财政加大对工作业务经费的支持力度，制定相关管理方案，提升工作水平较低行业和地区老干局的工作水平和资金投入量。</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增加走访调研次数，深入老同志生活，切实获知老同志物质和精神上需求，贯彻落实《关于一人一策精准服务离休干部的意见》等老干部活动开展管理办法及实施细则，提供更加标准化规范化服务。设立专项培训班，着力培养工作队伍的责任意识，服务意识和奉献意识；从而提高队伍学习进步的主观能动性，进而提升其能力素质的水平。</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三）结合工作实际，加强预算绩效管理体系建设，</w:t>
      </w:r>
      <w:r>
        <w:rPr>
          <w:rFonts w:ascii="仿宋_GB2312" w:eastAsia="仿宋_GB2312" w:hAnsi="仿宋_GB2312" w:cs="仿宋_GB2312" w:hint="eastAsia"/>
          <w:sz w:val="32"/>
          <w:szCs w:val="32"/>
        </w:rPr>
        <w:t>创</w:t>
      </w:r>
      <w:r>
        <w:rPr>
          <w:rFonts w:ascii="仿宋_GB2312" w:eastAsia="仿宋_GB2312" w:hAnsi="仿宋_GB2312" w:cs="仿宋_GB2312" w:hint="eastAsia"/>
          <w:sz w:val="32"/>
          <w:szCs w:val="32"/>
        </w:rPr>
        <w:lastRenderedPageBreak/>
        <w:t>新预算绩效管理理念，优化预算绩效管理方法，设置更科学的预算绩效评价指标库，为预算编制、绩效目标管理、绩效考核提供指引。</w:t>
      </w:r>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（四）提高决算表中决算数据的准确率</w:t>
      </w:r>
    </w:p>
    <w:p w:rsidR="006D3C3F" w:rsidRDefault="006E2DFB">
      <w:pPr>
        <w:spacing w:line="560" w:lineRule="exact"/>
        <w:ind w:firstLineChars="200" w:firstLine="640"/>
        <w:jc w:val="left"/>
        <w:outlineLvl w:val="1"/>
        <w:rPr>
          <w:rFonts w:ascii="黑体" w:eastAsia="黑体" w:hAnsi="黑体"/>
          <w:bCs/>
          <w:sz w:val="32"/>
          <w:szCs w:val="32"/>
        </w:rPr>
      </w:pPr>
      <w:bookmarkStart w:id="48" w:name="_Toc41935054"/>
      <w:bookmarkStart w:id="49" w:name="_Toc42327133"/>
      <w:bookmarkStart w:id="50" w:name="_Toc42869220"/>
      <w:r>
        <w:rPr>
          <w:rFonts w:ascii="黑体" w:eastAsia="黑体" w:hAnsi="黑体" w:hint="eastAsia"/>
          <w:bCs/>
          <w:sz w:val="32"/>
          <w:szCs w:val="32"/>
        </w:rPr>
        <w:t>七、绩效自评结果拟应用和公开情况</w:t>
      </w:r>
      <w:bookmarkEnd w:id="48"/>
      <w:bookmarkEnd w:id="49"/>
      <w:bookmarkEnd w:id="50"/>
    </w:p>
    <w:p w:rsidR="006D3C3F" w:rsidRDefault="006E2DF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绩效评价结果将作为以后年度湖南省委老干部局资金分配的重要依据，并作为省局认可的其他有关工作的参考依据。绩效评价的结果将按照财政有关要求在指定信息平台进行公布。</w:t>
      </w:r>
    </w:p>
    <w:p w:rsidR="006D3C3F" w:rsidRDefault="006E2DFB">
      <w:pPr>
        <w:spacing w:line="600" w:lineRule="exact"/>
        <w:ind w:firstLineChars="200" w:firstLine="640"/>
        <w:rPr>
          <w:rFonts w:ascii="黑体" w:eastAsia="黑体" w:hAnsi="黑体"/>
          <w:sz w:val="32"/>
          <w:szCs w:val="32"/>
        </w:rPr>
      </w:pPr>
      <w:r>
        <w:rPr>
          <w:rFonts w:ascii="黑体" w:eastAsia="黑体" w:hAnsi="黑体" w:hint="eastAsia"/>
          <w:sz w:val="32"/>
          <w:szCs w:val="32"/>
        </w:rPr>
        <w:t>附件：</w:t>
      </w:r>
    </w:p>
    <w:p w:rsidR="006D3C3F" w:rsidRDefault="006E2DFB">
      <w:pPr>
        <w:spacing w:line="600" w:lineRule="exact"/>
        <w:ind w:firstLineChars="200" w:firstLine="640"/>
        <w:rPr>
          <w:rFonts w:ascii="黑体" w:eastAsia="黑体" w:hAnsi="黑体"/>
          <w:sz w:val="32"/>
          <w:szCs w:val="32"/>
        </w:rPr>
      </w:pPr>
      <w:r>
        <w:rPr>
          <w:rFonts w:ascii="黑体" w:eastAsia="黑体" w:hAnsi="黑体" w:hint="eastAsia"/>
          <w:sz w:val="32"/>
          <w:szCs w:val="32"/>
        </w:rPr>
        <w:t>1</w:t>
      </w:r>
      <w:r>
        <w:rPr>
          <w:rFonts w:ascii="黑体" w:eastAsia="黑体" w:hAnsi="黑体" w:hint="eastAsia"/>
          <w:sz w:val="32"/>
          <w:szCs w:val="32"/>
        </w:rPr>
        <w:t>．</w:t>
      </w:r>
      <w:r>
        <w:rPr>
          <w:rFonts w:ascii="黑体" w:eastAsia="黑体" w:hAnsi="黑体" w:hint="eastAsia"/>
          <w:sz w:val="32"/>
          <w:szCs w:val="32"/>
        </w:rPr>
        <w:t>2019</w:t>
      </w:r>
      <w:r>
        <w:rPr>
          <w:rFonts w:ascii="黑体" w:eastAsia="黑体" w:hAnsi="黑体" w:hint="eastAsia"/>
          <w:sz w:val="32"/>
          <w:szCs w:val="32"/>
        </w:rPr>
        <w:t>年度部门整体支出绩效评价基础数据表</w:t>
      </w:r>
    </w:p>
    <w:p w:rsidR="006D3C3F" w:rsidRDefault="006E2DFB">
      <w:pPr>
        <w:widowControl/>
        <w:spacing w:line="600" w:lineRule="exact"/>
        <w:jc w:val="left"/>
        <w:rPr>
          <w:rFonts w:ascii="黑体" w:eastAsia="黑体" w:hAnsi="黑体"/>
          <w:sz w:val="32"/>
          <w:szCs w:val="32"/>
        </w:rPr>
      </w:pPr>
      <w:r>
        <w:rPr>
          <w:rFonts w:ascii="黑体" w:eastAsia="黑体" w:hAnsi="黑体" w:hint="eastAsia"/>
          <w:sz w:val="32"/>
          <w:szCs w:val="32"/>
        </w:rPr>
        <w:t xml:space="preserve"> </w:t>
      </w:r>
      <w:r>
        <w:rPr>
          <w:rFonts w:ascii="黑体" w:eastAsia="黑体" w:hAnsi="黑体"/>
          <w:sz w:val="32"/>
          <w:szCs w:val="32"/>
        </w:rPr>
        <w:t xml:space="preserve">   </w:t>
      </w:r>
      <w:r>
        <w:rPr>
          <w:rFonts w:ascii="黑体" w:eastAsia="黑体" w:hAnsi="黑体" w:hint="eastAsia"/>
          <w:sz w:val="32"/>
          <w:szCs w:val="32"/>
        </w:rPr>
        <w:t>2</w:t>
      </w:r>
      <w:r>
        <w:rPr>
          <w:rFonts w:ascii="黑体" w:eastAsia="黑体" w:hAnsi="黑体" w:hint="eastAsia"/>
          <w:sz w:val="32"/>
          <w:szCs w:val="32"/>
        </w:rPr>
        <w:t>．</w:t>
      </w:r>
      <w:r>
        <w:rPr>
          <w:rFonts w:ascii="黑体" w:eastAsia="黑体" w:hAnsi="黑体" w:hint="eastAsia"/>
          <w:sz w:val="32"/>
          <w:szCs w:val="32"/>
        </w:rPr>
        <w:t>2019</w:t>
      </w:r>
      <w:r>
        <w:rPr>
          <w:rFonts w:ascii="黑体" w:eastAsia="黑体" w:hAnsi="黑体" w:hint="eastAsia"/>
          <w:sz w:val="32"/>
          <w:szCs w:val="32"/>
        </w:rPr>
        <w:t>年度部门整体支出绩效自评表</w:t>
      </w:r>
    </w:p>
    <w:p w:rsidR="006D3C3F" w:rsidRDefault="006E2DFB">
      <w:pPr>
        <w:widowControl/>
        <w:spacing w:line="600" w:lineRule="exact"/>
        <w:jc w:val="left"/>
        <w:rPr>
          <w:rFonts w:ascii="黑体" w:eastAsia="黑体" w:hAnsi="黑体"/>
          <w:sz w:val="32"/>
          <w:szCs w:val="32"/>
        </w:rPr>
      </w:pPr>
      <w:r>
        <w:rPr>
          <w:rFonts w:ascii="黑体" w:eastAsia="黑体" w:hAnsi="黑体" w:hint="eastAsia"/>
          <w:sz w:val="32"/>
          <w:szCs w:val="32"/>
        </w:rPr>
        <w:t xml:space="preserve"> </w:t>
      </w:r>
      <w:r>
        <w:rPr>
          <w:rFonts w:ascii="黑体" w:eastAsia="黑体" w:hAnsi="黑体"/>
          <w:sz w:val="32"/>
          <w:szCs w:val="32"/>
        </w:rPr>
        <w:t xml:space="preserve">   </w:t>
      </w:r>
      <w:r>
        <w:rPr>
          <w:rFonts w:ascii="黑体" w:eastAsia="黑体" w:hAnsi="黑体" w:hint="eastAsia"/>
          <w:sz w:val="32"/>
          <w:szCs w:val="32"/>
        </w:rPr>
        <w:t>3</w:t>
      </w:r>
      <w:r>
        <w:rPr>
          <w:rFonts w:ascii="黑体" w:eastAsia="黑体" w:hAnsi="黑体" w:hint="eastAsia"/>
          <w:sz w:val="32"/>
          <w:szCs w:val="32"/>
        </w:rPr>
        <w:t>．</w:t>
      </w:r>
      <w:r>
        <w:rPr>
          <w:rFonts w:ascii="黑体" w:eastAsia="黑体" w:hAnsi="黑体" w:hint="eastAsia"/>
          <w:sz w:val="32"/>
          <w:szCs w:val="32"/>
        </w:rPr>
        <w:t>2019</w:t>
      </w:r>
      <w:r>
        <w:rPr>
          <w:rFonts w:ascii="黑体" w:eastAsia="黑体" w:hAnsi="黑体" w:hint="eastAsia"/>
          <w:sz w:val="32"/>
          <w:szCs w:val="32"/>
        </w:rPr>
        <w:t>年度项目支出绩效自评表</w:t>
      </w:r>
    </w:p>
    <w:p w:rsidR="006D3C3F" w:rsidRDefault="006D3C3F">
      <w:pPr>
        <w:widowControl/>
        <w:jc w:val="left"/>
        <w:rPr>
          <w:rFonts w:ascii="黑体" w:eastAsia="黑体" w:hAnsi="黑体"/>
          <w:sz w:val="32"/>
          <w:szCs w:val="32"/>
        </w:rPr>
      </w:pPr>
      <w:bookmarkStart w:id="51" w:name="_GoBack"/>
      <w:bookmarkEnd w:id="51"/>
    </w:p>
    <w:sectPr w:rsidR="006D3C3F" w:rsidSect="006D3C3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DFB" w:rsidRDefault="006E2DFB" w:rsidP="006D3C3F">
      <w:r>
        <w:separator/>
      </w:r>
    </w:p>
  </w:endnote>
  <w:endnote w:type="continuationSeparator" w:id="0">
    <w:p w:rsidR="006E2DFB" w:rsidRDefault="006E2DFB" w:rsidP="006D3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
    <w:altName w:val="MS Gothic"/>
    <w:charset w:val="86"/>
    <w:family w:val="modern"/>
    <w:pitch w:val="fixed"/>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516282"/>
    </w:sdtPr>
    <w:sdtContent>
      <w:p w:rsidR="006D3C3F" w:rsidRDefault="006D3C3F">
        <w:pPr>
          <w:pStyle w:val="a4"/>
          <w:jc w:val="center"/>
        </w:pPr>
        <w:r>
          <w:fldChar w:fldCharType="begin"/>
        </w:r>
        <w:r w:rsidR="006E2DFB">
          <w:instrText>PAGE   \* MERGEFORMAT</w:instrText>
        </w:r>
        <w:r>
          <w:fldChar w:fldCharType="separate"/>
        </w:r>
        <w:r w:rsidR="003A7836" w:rsidRPr="003A7836">
          <w:rPr>
            <w:noProof/>
            <w:lang w:val="zh-CN"/>
          </w:rPr>
          <w:t>10</w:t>
        </w:r>
        <w:r>
          <w:fldChar w:fldCharType="end"/>
        </w:r>
      </w:p>
    </w:sdtContent>
  </w:sdt>
  <w:p w:rsidR="006D3C3F" w:rsidRDefault="006D3C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DFB" w:rsidRDefault="006E2DFB" w:rsidP="006D3C3F">
      <w:r>
        <w:separator/>
      </w:r>
    </w:p>
  </w:footnote>
  <w:footnote w:type="continuationSeparator" w:id="0">
    <w:p w:rsidR="006E2DFB" w:rsidRDefault="006E2DFB" w:rsidP="006D3C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6B3D"/>
    <w:rsid w:val="00002D4B"/>
    <w:rsid w:val="00006C9C"/>
    <w:rsid w:val="000149E2"/>
    <w:rsid w:val="000166EA"/>
    <w:rsid w:val="000202A5"/>
    <w:rsid w:val="000207AD"/>
    <w:rsid w:val="00021FD5"/>
    <w:rsid w:val="00023834"/>
    <w:rsid w:val="0005024E"/>
    <w:rsid w:val="00062A08"/>
    <w:rsid w:val="0007168F"/>
    <w:rsid w:val="000A5266"/>
    <w:rsid w:val="000B1E00"/>
    <w:rsid w:val="000C250B"/>
    <w:rsid w:val="000C4E22"/>
    <w:rsid w:val="000F59E9"/>
    <w:rsid w:val="0013292C"/>
    <w:rsid w:val="0015012F"/>
    <w:rsid w:val="00152FFB"/>
    <w:rsid w:val="00165EBA"/>
    <w:rsid w:val="001731B4"/>
    <w:rsid w:val="00192039"/>
    <w:rsid w:val="00193D8A"/>
    <w:rsid w:val="001A4089"/>
    <w:rsid w:val="001A4ED8"/>
    <w:rsid w:val="001A646E"/>
    <w:rsid w:val="001B6928"/>
    <w:rsid w:val="001C1C04"/>
    <w:rsid w:val="001D0F44"/>
    <w:rsid w:val="0020482B"/>
    <w:rsid w:val="00231A52"/>
    <w:rsid w:val="00232E4B"/>
    <w:rsid w:val="00236A9C"/>
    <w:rsid w:val="00237500"/>
    <w:rsid w:val="002410B0"/>
    <w:rsid w:val="00271572"/>
    <w:rsid w:val="002E18D4"/>
    <w:rsid w:val="002E1BC6"/>
    <w:rsid w:val="002E7519"/>
    <w:rsid w:val="003043DB"/>
    <w:rsid w:val="00332B3A"/>
    <w:rsid w:val="0034108C"/>
    <w:rsid w:val="00351E64"/>
    <w:rsid w:val="003810A4"/>
    <w:rsid w:val="00383088"/>
    <w:rsid w:val="003A7836"/>
    <w:rsid w:val="003C5E29"/>
    <w:rsid w:val="003F05DF"/>
    <w:rsid w:val="003F6919"/>
    <w:rsid w:val="004058AB"/>
    <w:rsid w:val="00426CB7"/>
    <w:rsid w:val="00434BEE"/>
    <w:rsid w:val="00434E2A"/>
    <w:rsid w:val="00462075"/>
    <w:rsid w:val="00481C99"/>
    <w:rsid w:val="00496322"/>
    <w:rsid w:val="004A4156"/>
    <w:rsid w:val="004B6AB1"/>
    <w:rsid w:val="004C0334"/>
    <w:rsid w:val="004D5506"/>
    <w:rsid w:val="004D77D2"/>
    <w:rsid w:val="004F60CD"/>
    <w:rsid w:val="0050002E"/>
    <w:rsid w:val="00501106"/>
    <w:rsid w:val="00501AA3"/>
    <w:rsid w:val="005161F2"/>
    <w:rsid w:val="0053766B"/>
    <w:rsid w:val="00564F9E"/>
    <w:rsid w:val="00567A38"/>
    <w:rsid w:val="00570658"/>
    <w:rsid w:val="005722B8"/>
    <w:rsid w:val="005B07E6"/>
    <w:rsid w:val="005C03FA"/>
    <w:rsid w:val="005C170D"/>
    <w:rsid w:val="0061516C"/>
    <w:rsid w:val="00673A7A"/>
    <w:rsid w:val="00695841"/>
    <w:rsid w:val="006C0BEC"/>
    <w:rsid w:val="006C196E"/>
    <w:rsid w:val="006D2BAE"/>
    <w:rsid w:val="006D3C3F"/>
    <w:rsid w:val="006D58EA"/>
    <w:rsid w:val="006E1838"/>
    <w:rsid w:val="006E2DFB"/>
    <w:rsid w:val="00705765"/>
    <w:rsid w:val="007368F5"/>
    <w:rsid w:val="0074210D"/>
    <w:rsid w:val="00747BEF"/>
    <w:rsid w:val="00751FDB"/>
    <w:rsid w:val="00752B50"/>
    <w:rsid w:val="00755E42"/>
    <w:rsid w:val="007726BF"/>
    <w:rsid w:val="007832A6"/>
    <w:rsid w:val="007A086D"/>
    <w:rsid w:val="007B47AA"/>
    <w:rsid w:val="007C1C5D"/>
    <w:rsid w:val="007C1F7C"/>
    <w:rsid w:val="007C4F38"/>
    <w:rsid w:val="007C721A"/>
    <w:rsid w:val="007D6FE6"/>
    <w:rsid w:val="007D7F72"/>
    <w:rsid w:val="007E63F2"/>
    <w:rsid w:val="007F0CA4"/>
    <w:rsid w:val="007F55C4"/>
    <w:rsid w:val="00811C85"/>
    <w:rsid w:val="008170B2"/>
    <w:rsid w:val="00830E69"/>
    <w:rsid w:val="008630F9"/>
    <w:rsid w:val="00873574"/>
    <w:rsid w:val="008931DF"/>
    <w:rsid w:val="008A7986"/>
    <w:rsid w:val="008B0801"/>
    <w:rsid w:val="008B3EB0"/>
    <w:rsid w:val="008B412C"/>
    <w:rsid w:val="008B4165"/>
    <w:rsid w:val="008B72DD"/>
    <w:rsid w:val="008F0871"/>
    <w:rsid w:val="008F3ACC"/>
    <w:rsid w:val="00904CD6"/>
    <w:rsid w:val="00923B72"/>
    <w:rsid w:val="009313BA"/>
    <w:rsid w:val="00931C12"/>
    <w:rsid w:val="009535BD"/>
    <w:rsid w:val="00953C2F"/>
    <w:rsid w:val="00960DE0"/>
    <w:rsid w:val="009654BA"/>
    <w:rsid w:val="00970B47"/>
    <w:rsid w:val="0097170E"/>
    <w:rsid w:val="00971AE9"/>
    <w:rsid w:val="00972B8E"/>
    <w:rsid w:val="009747DE"/>
    <w:rsid w:val="009866B1"/>
    <w:rsid w:val="0099506F"/>
    <w:rsid w:val="009A197A"/>
    <w:rsid w:val="009A3273"/>
    <w:rsid w:val="009A490A"/>
    <w:rsid w:val="009B430A"/>
    <w:rsid w:val="009B7726"/>
    <w:rsid w:val="009C4C05"/>
    <w:rsid w:val="009C697B"/>
    <w:rsid w:val="009D638B"/>
    <w:rsid w:val="009E1066"/>
    <w:rsid w:val="009F1BEC"/>
    <w:rsid w:val="00A4055D"/>
    <w:rsid w:val="00A4124B"/>
    <w:rsid w:val="00A4306C"/>
    <w:rsid w:val="00A52857"/>
    <w:rsid w:val="00A56DC7"/>
    <w:rsid w:val="00A727D0"/>
    <w:rsid w:val="00A81ABB"/>
    <w:rsid w:val="00AB7154"/>
    <w:rsid w:val="00B00EF5"/>
    <w:rsid w:val="00B031F1"/>
    <w:rsid w:val="00B220E8"/>
    <w:rsid w:val="00B446DF"/>
    <w:rsid w:val="00B87376"/>
    <w:rsid w:val="00BA6FE9"/>
    <w:rsid w:val="00BD201A"/>
    <w:rsid w:val="00BD700A"/>
    <w:rsid w:val="00BD7907"/>
    <w:rsid w:val="00BE21DF"/>
    <w:rsid w:val="00BE2F27"/>
    <w:rsid w:val="00BE6A42"/>
    <w:rsid w:val="00BF1DD2"/>
    <w:rsid w:val="00C0681E"/>
    <w:rsid w:val="00C221BE"/>
    <w:rsid w:val="00C31816"/>
    <w:rsid w:val="00C318DB"/>
    <w:rsid w:val="00C51CCF"/>
    <w:rsid w:val="00C57221"/>
    <w:rsid w:val="00C77E60"/>
    <w:rsid w:val="00C82ED2"/>
    <w:rsid w:val="00CA38B5"/>
    <w:rsid w:val="00CB6992"/>
    <w:rsid w:val="00CB6FE6"/>
    <w:rsid w:val="00CB7646"/>
    <w:rsid w:val="00CF2EFA"/>
    <w:rsid w:val="00CF3888"/>
    <w:rsid w:val="00D005AA"/>
    <w:rsid w:val="00D2437B"/>
    <w:rsid w:val="00D326B3"/>
    <w:rsid w:val="00D51938"/>
    <w:rsid w:val="00D51D4C"/>
    <w:rsid w:val="00D62F1D"/>
    <w:rsid w:val="00D84668"/>
    <w:rsid w:val="00DB5ED9"/>
    <w:rsid w:val="00DB6110"/>
    <w:rsid w:val="00DC3EC7"/>
    <w:rsid w:val="00DC5A68"/>
    <w:rsid w:val="00DD1F36"/>
    <w:rsid w:val="00DD7BEE"/>
    <w:rsid w:val="00E31880"/>
    <w:rsid w:val="00E321EE"/>
    <w:rsid w:val="00E3769A"/>
    <w:rsid w:val="00E408B1"/>
    <w:rsid w:val="00E475EF"/>
    <w:rsid w:val="00E72AA6"/>
    <w:rsid w:val="00E73D2F"/>
    <w:rsid w:val="00E94619"/>
    <w:rsid w:val="00E96B3D"/>
    <w:rsid w:val="00EA3F96"/>
    <w:rsid w:val="00EB15BE"/>
    <w:rsid w:val="00EB3E68"/>
    <w:rsid w:val="00EE16BA"/>
    <w:rsid w:val="00EE4B1D"/>
    <w:rsid w:val="00EE6A87"/>
    <w:rsid w:val="00F07FD7"/>
    <w:rsid w:val="00F10EB2"/>
    <w:rsid w:val="00F55F5B"/>
    <w:rsid w:val="00F5621B"/>
    <w:rsid w:val="00F630DC"/>
    <w:rsid w:val="00F64EC4"/>
    <w:rsid w:val="00F75DAB"/>
    <w:rsid w:val="00FA7E49"/>
    <w:rsid w:val="00FB3A69"/>
    <w:rsid w:val="00FD718F"/>
    <w:rsid w:val="00FF7408"/>
    <w:rsid w:val="01111ED2"/>
    <w:rsid w:val="048056FA"/>
    <w:rsid w:val="05360810"/>
    <w:rsid w:val="05557E21"/>
    <w:rsid w:val="0974661C"/>
    <w:rsid w:val="0AD95753"/>
    <w:rsid w:val="0AF21764"/>
    <w:rsid w:val="0B0520E2"/>
    <w:rsid w:val="0D4732B8"/>
    <w:rsid w:val="10006D3D"/>
    <w:rsid w:val="144F70E7"/>
    <w:rsid w:val="18962D76"/>
    <w:rsid w:val="1B4223E8"/>
    <w:rsid w:val="1B6302ED"/>
    <w:rsid w:val="1CF37994"/>
    <w:rsid w:val="20D5332E"/>
    <w:rsid w:val="26D75ECF"/>
    <w:rsid w:val="2AA22E7C"/>
    <w:rsid w:val="2C7D68AB"/>
    <w:rsid w:val="2D665E80"/>
    <w:rsid w:val="2F1A1050"/>
    <w:rsid w:val="2F8626E9"/>
    <w:rsid w:val="301271B4"/>
    <w:rsid w:val="31D46891"/>
    <w:rsid w:val="32966F11"/>
    <w:rsid w:val="33B91E41"/>
    <w:rsid w:val="35F4380B"/>
    <w:rsid w:val="39763340"/>
    <w:rsid w:val="39F23100"/>
    <w:rsid w:val="3A9E1729"/>
    <w:rsid w:val="3BFA1095"/>
    <w:rsid w:val="3C7F3C94"/>
    <w:rsid w:val="3D093911"/>
    <w:rsid w:val="3FD00E72"/>
    <w:rsid w:val="41C55B68"/>
    <w:rsid w:val="4245708A"/>
    <w:rsid w:val="43264047"/>
    <w:rsid w:val="437653E8"/>
    <w:rsid w:val="4450486B"/>
    <w:rsid w:val="44B6188A"/>
    <w:rsid w:val="45162E81"/>
    <w:rsid w:val="48A42173"/>
    <w:rsid w:val="49CE7D27"/>
    <w:rsid w:val="4EA617A0"/>
    <w:rsid w:val="4F3B236E"/>
    <w:rsid w:val="567A3065"/>
    <w:rsid w:val="5AA26749"/>
    <w:rsid w:val="5B14072F"/>
    <w:rsid w:val="5E002ABD"/>
    <w:rsid w:val="5E764F07"/>
    <w:rsid w:val="5EC0600F"/>
    <w:rsid w:val="5F2E0F05"/>
    <w:rsid w:val="5F5F50CC"/>
    <w:rsid w:val="608D0284"/>
    <w:rsid w:val="611A23E6"/>
    <w:rsid w:val="64235115"/>
    <w:rsid w:val="68023E2E"/>
    <w:rsid w:val="691F6F63"/>
    <w:rsid w:val="6B543045"/>
    <w:rsid w:val="6BAE3C2E"/>
    <w:rsid w:val="6BD41F72"/>
    <w:rsid w:val="6CAC6EDA"/>
    <w:rsid w:val="6CB6330E"/>
    <w:rsid w:val="6E9B2207"/>
    <w:rsid w:val="6F9D1D05"/>
    <w:rsid w:val="71184AC0"/>
    <w:rsid w:val="732567AB"/>
    <w:rsid w:val="769578F2"/>
    <w:rsid w:val="78737D4B"/>
    <w:rsid w:val="7C0E7CF8"/>
    <w:rsid w:val="7C426557"/>
    <w:rsid w:val="7EC347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C3F"/>
    <w:pPr>
      <w:widowControl w:val="0"/>
      <w:jc w:val="both"/>
    </w:pPr>
    <w:rPr>
      <w:kern w:val="2"/>
      <w:sz w:val="21"/>
      <w:szCs w:val="24"/>
    </w:rPr>
  </w:style>
  <w:style w:type="paragraph" w:styleId="1">
    <w:name w:val="heading 1"/>
    <w:basedOn w:val="a"/>
    <w:next w:val="a"/>
    <w:link w:val="1Char"/>
    <w:uiPriority w:val="9"/>
    <w:qFormat/>
    <w:rsid w:val="006D3C3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6D3C3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D3C3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rsid w:val="006D3C3F"/>
    <w:pPr>
      <w:ind w:leftChars="400" w:left="840"/>
    </w:pPr>
  </w:style>
  <w:style w:type="paragraph" w:styleId="a3">
    <w:name w:val="Balloon Text"/>
    <w:basedOn w:val="a"/>
    <w:link w:val="Char"/>
    <w:uiPriority w:val="99"/>
    <w:semiHidden/>
    <w:unhideWhenUsed/>
    <w:qFormat/>
    <w:rsid w:val="006D3C3F"/>
    <w:rPr>
      <w:sz w:val="18"/>
      <w:szCs w:val="18"/>
    </w:rPr>
  </w:style>
  <w:style w:type="paragraph" w:styleId="a4">
    <w:name w:val="footer"/>
    <w:basedOn w:val="a"/>
    <w:link w:val="Char0"/>
    <w:uiPriority w:val="99"/>
    <w:unhideWhenUsed/>
    <w:qFormat/>
    <w:rsid w:val="006D3C3F"/>
    <w:pPr>
      <w:tabs>
        <w:tab w:val="center" w:pos="4153"/>
        <w:tab w:val="right" w:pos="8306"/>
      </w:tabs>
      <w:snapToGrid w:val="0"/>
      <w:jc w:val="left"/>
    </w:pPr>
    <w:rPr>
      <w:sz w:val="18"/>
      <w:szCs w:val="18"/>
    </w:rPr>
  </w:style>
  <w:style w:type="paragraph" w:styleId="a5">
    <w:name w:val="header"/>
    <w:basedOn w:val="a"/>
    <w:link w:val="Char1"/>
    <w:uiPriority w:val="99"/>
    <w:unhideWhenUsed/>
    <w:rsid w:val="006D3C3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6D3C3F"/>
  </w:style>
  <w:style w:type="paragraph" w:styleId="20">
    <w:name w:val="toc 2"/>
    <w:basedOn w:val="a"/>
    <w:next w:val="a"/>
    <w:uiPriority w:val="39"/>
    <w:unhideWhenUsed/>
    <w:qFormat/>
    <w:rsid w:val="006D3C3F"/>
    <w:pPr>
      <w:ind w:leftChars="200" w:left="420"/>
    </w:pPr>
  </w:style>
  <w:style w:type="character" w:styleId="a6">
    <w:name w:val="Hyperlink"/>
    <w:basedOn w:val="a0"/>
    <w:uiPriority w:val="99"/>
    <w:unhideWhenUsed/>
    <w:rsid w:val="006D3C3F"/>
    <w:rPr>
      <w:color w:val="0563C1" w:themeColor="hyperlink"/>
      <w:u w:val="single"/>
    </w:rPr>
  </w:style>
  <w:style w:type="character" w:customStyle="1" w:styleId="Char">
    <w:name w:val="批注框文本 Char"/>
    <w:basedOn w:val="a0"/>
    <w:link w:val="a3"/>
    <w:uiPriority w:val="99"/>
    <w:semiHidden/>
    <w:qFormat/>
    <w:rsid w:val="006D3C3F"/>
    <w:rPr>
      <w:rFonts w:ascii="Times New Roman" w:eastAsia="宋体" w:hAnsi="Times New Roman" w:cs="Times New Roman"/>
      <w:sz w:val="18"/>
      <w:szCs w:val="18"/>
    </w:rPr>
  </w:style>
  <w:style w:type="paragraph" w:styleId="a7">
    <w:name w:val="List Paragraph"/>
    <w:basedOn w:val="a"/>
    <w:uiPriority w:val="34"/>
    <w:qFormat/>
    <w:rsid w:val="006D3C3F"/>
    <w:pPr>
      <w:ind w:firstLineChars="200" w:firstLine="420"/>
    </w:pPr>
  </w:style>
  <w:style w:type="character" w:customStyle="1" w:styleId="Char1">
    <w:name w:val="页眉 Char"/>
    <w:basedOn w:val="a0"/>
    <w:link w:val="a5"/>
    <w:uiPriority w:val="99"/>
    <w:rsid w:val="006D3C3F"/>
    <w:rPr>
      <w:rFonts w:ascii="Times New Roman" w:eastAsia="宋体" w:hAnsi="Times New Roman" w:cs="Times New Roman"/>
      <w:sz w:val="18"/>
      <w:szCs w:val="18"/>
    </w:rPr>
  </w:style>
  <w:style w:type="character" w:customStyle="1" w:styleId="Char0">
    <w:name w:val="页脚 Char"/>
    <w:basedOn w:val="a0"/>
    <w:link w:val="a4"/>
    <w:uiPriority w:val="99"/>
    <w:qFormat/>
    <w:rsid w:val="006D3C3F"/>
    <w:rPr>
      <w:rFonts w:ascii="Times New Roman" w:eastAsia="宋体" w:hAnsi="Times New Roman" w:cs="Times New Roman"/>
      <w:sz w:val="18"/>
      <w:szCs w:val="18"/>
    </w:rPr>
  </w:style>
  <w:style w:type="character" w:customStyle="1" w:styleId="1Char">
    <w:name w:val="标题 1 Char"/>
    <w:basedOn w:val="a0"/>
    <w:link w:val="1"/>
    <w:uiPriority w:val="9"/>
    <w:qFormat/>
    <w:rsid w:val="006D3C3F"/>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qFormat/>
    <w:rsid w:val="006D3C3F"/>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6D3C3F"/>
    <w:rPr>
      <w:rFonts w:ascii="Times New Roman" w:eastAsia="宋体" w:hAnsi="Times New Roman" w:cs="Times New Roman"/>
      <w:b/>
      <w:bCs/>
      <w:sz w:val="32"/>
      <w:szCs w:val="32"/>
    </w:rPr>
  </w:style>
  <w:style w:type="paragraph" w:customStyle="1" w:styleId="TOC1">
    <w:name w:val="TOC 标题1"/>
    <w:basedOn w:val="1"/>
    <w:next w:val="a"/>
    <w:uiPriority w:val="39"/>
    <w:unhideWhenUsed/>
    <w:qFormat/>
    <w:rsid w:val="006D3C3F"/>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OC2">
    <w:name w:val="TOC 标题2"/>
    <w:basedOn w:val="1"/>
    <w:next w:val="a"/>
    <w:uiPriority w:val="39"/>
    <w:unhideWhenUsed/>
    <w:qFormat/>
    <w:rsid w:val="006D3C3F"/>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EBAB9-767A-4D79-B175-A4D7B5E8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qinqi</dc:creator>
  <cp:lastModifiedBy>xbany</cp:lastModifiedBy>
  <cp:revision>3</cp:revision>
  <cp:lastPrinted>2020-06-12T02:22:00Z</cp:lastPrinted>
  <dcterms:created xsi:type="dcterms:W3CDTF">2020-06-15T07:42:00Z</dcterms:created>
  <dcterms:modified xsi:type="dcterms:W3CDTF">2020-09-02T11:16:00Z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