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36"/>
          <w:lang w:val="en-US" w:eastAsia="zh-CN"/>
        </w:rPr>
      </w:pPr>
      <w:r>
        <w:rPr>
          <w:rFonts w:hint="eastAsia"/>
          <w:b/>
          <w:bCs/>
          <w:sz w:val="28"/>
          <w:szCs w:val="36"/>
          <w:lang w:val="en-US" w:eastAsia="zh-CN"/>
        </w:rPr>
        <w:t>附件</w:t>
      </w:r>
    </w:p>
    <w:p>
      <w:pPr>
        <w:jc w:val="center"/>
        <w:rPr>
          <w:rFonts w:hint="eastAsia" w:eastAsia="宋体"/>
          <w:b/>
          <w:bCs/>
          <w:sz w:val="28"/>
          <w:szCs w:val="36"/>
          <w:lang w:val="en-US" w:eastAsia="zh-CN"/>
        </w:rPr>
      </w:pPr>
      <w:r>
        <w:rPr>
          <w:rFonts w:hint="eastAsia" w:eastAsia="宋体"/>
          <w:b/>
          <w:bCs/>
          <w:sz w:val="28"/>
          <w:szCs w:val="36"/>
          <w:lang w:val="en-US" w:eastAsia="zh-CN"/>
        </w:rPr>
        <w:t>中共湖南省委老干部局官网系统、“三湘老干部e家”平台</w:t>
      </w:r>
    </w:p>
    <w:p>
      <w:pPr>
        <w:jc w:val="center"/>
        <w:rPr>
          <w:rFonts w:hint="eastAsia"/>
          <w:b/>
          <w:bCs/>
          <w:sz w:val="28"/>
          <w:szCs w:val="36"/>
        </w:rPr>
      </w:pPr>
      <w:r>
        <w:rPr>
          <w:rFonts w:hint="eastAsia" w:eastAsia="宋体"/>
          <w:b/>
          <w:bCs/>
          <w:sz w:val="28"/>
          <w:szCs w:val="36"/>
          <w:lang w:val="en-US" w:eastAsia="zh-CN"/>
        </w:rPr>
        <w:t>信创迁移项目服务竞争性磋商</w:t>
      </w:r>
      <w:r>
        <w:rPr>
          <w:rFonts w:hint="eastAsia"/>
          <w:b/>
          <w:bCs/>
          <w:sz w:val="28"/>
          <w:szCs w:val="36"/>
        </w:rPr>
        <w:t>综合评分表</w:t>
      </w:r>
    </w:p>
    <w:p>
      <w:pPr>
        <w:rPr>
          <w:rFonts w:hint="eastAsia"/>
        </w:rPr>
      </w:pPr>
    </w:p>
    <w:tbl>
      <w:tblPr>
        <w:tblStyle w:val="2"/>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397"/>
        <w:gridCol w:w="4972"/>
        <w:gridCol w:w="150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3" w:hRule="atLeast"/>
        </w:trPr>
        <w:tc>
          <w:tcPr>
            <w:tcW w:w="5000" w:type="pct"/>
            <w:gridSpan w:val="3"/>
            <w:tcBorders>
              <w:top w:val="double" w:color="auto" w:sz="4" w:space="0"/>
              <w:bottom w:val="single" w:color="auto" w:sz="4" w:space="0"/>
            </w:tcBorders>
            <w:noWrap w:val="0"/>
            <w:vAlign w:val="center"/>
          </w:tcPr>
          <w:p>
            <w:r>
              <w:rPr>
                <w:rFonts w:hint="eastAsia"/>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720" w:type="pct"/>
            <w:tcBorders>
              <w:top w:val="single" w:color="auto" w:sz="4" w:space="0"/>
              <w:bottom w:val="single" w:color="auto" w:sz="4" w:space="0"/>
              <w:right w:val="single" w:color="auto" w:sz="4" w:space="0"/>
            </w:tcBorders>
            <w:noWrap w:val="0"/>
            <w:vAlign w:val="center"/>
          </w:tcPr>
          <w:p>
            <w:pPr>
              <w:rPr>
                <w:rFonts w:hint="eastAsia"/>
              </w:rPr>
            </w:pPr>
            <w:r>
              <w:rPr>
                <w:rFonts w:hint="eastAsia"/>
              </w:rPr>
              <w:t>采购项目定标方式</w:t>
            </w:r>
          </w:p>
        </w:tc>
        <w:tc>
          <w:tcPr>
            <w:tcW w:w="3280" w:type="pct"/>
            <w:gridSpan w:val="2"/>
            <w:tcBorders>
              <w:top w:val="single" w:color="auto" w:sz="4" w:space="0"/>
              <w:left w:val="single" w:color="auto" w:sz="4" w:space="0"/>
              <w:bottom w:val="single" w:color="auto" w:sz="4" w:space="0"/>
            </w:tcBorders>
            <w:noWrap w:val="0"/>
            <w:vAlign w:val="center"/>
          </w:tcPr>
          <w:p>
            <w:pPr>
              <w:rPr>
                <w:rFonts w:hint="eastAsia"/>
              </w:rPr>
            </w:pPr>
            <w:r>
              <w:rPr>
                <w:rFonts w:hint="eastAsia"/>
              </w:rPr>
              <w:t>整体定标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5000" w:type="pct"/>
            <w:gridSpan w:val="3"/>
            <w:tcBorders>
              <w:top w:val="single" w:color="auto" w:sz="4" w:space="0"/>
              <w:bottom w:val="single" w:color="auto" w:sz="4" w:space="0"/>
            </w:tcBorders>
            <w:noWrap w:val="0"/>
            <w:vAlign w:val="center"/>
          </w:tcPr>
          <w:p>
            <w:pPr>
              <w:rPr>
                <w:rFonts w:hint="eastAsia"/>
              </w:rPr>
            </w:pPr>
            <w:r>
              <w:rPr>
                <w:rFonts w:hint="eastAsia"/>
              </w:rPr>
              <w:t>评审因素及权值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1720" w:type="pct"/>
            <w:tcBorders>
              <w:top w:val="single" w:color="auto" w:sz="4" w:space="0"/>
              <w:bottom w:val="single" w:color="auto" w:sz="4" w:space="0"/>
            </w:tcBorders>
            <w:noWrap w:val="0"/>
            <w:vAlign w:val="center"/>
          </w:tcPr>
          <w:p>
            <w:pPr>
              <w:jc w:val="center"/>
              <w:rPr>
                <w:rFonts w:hint="eastAsia"/>
              </w:rPr>
            </w:pPr>
            <w:r>
              <w:rPr>
                <w:rFonts w:hint="eastAsia"/>
              </w:rPr>
              <w:t>评审因素</w:t>
            </w:r>
          </w:p>
        </w:tc>
        <w:tc>
          <w:tcPr>
            <w:tcW w:w="2517" w:type="pct"/>
            <w:tcBorders>
              <w:top w:val="single" w:color="auto" w:sz="4" w:space="0"/>
              <w:bottom w:val="single" w:color="auto" w:sz="4" w:space="0"/>
              <w:right w:val="single" w:color="auto" w:sz="4" w:space="0"/>
            </w:tcBorders>
            <w:noWrap w:val="0"/>
            <w:vAlign w:val="center"/>
          </w:tcPr>
          <w:p>
            <w:pPr>
              <w:jc w:val="center"/>
              <w:rPr>
                <w:rFonts w:hint="eastAsia"/>
              </w:rPr>
            </w:pPr>
            <w:r>
              <w:rPr>
                <w:rFonts w:hint="eastAsia"/>
              </w:rPr>
              <w:t>权值范围</w:t>
            </w:r>
          </w:p>
        </w:tc>
        <w:tc>
          <w:tcPr>
            <w:tcW w:w="763" w:type="pct"/>
            <w:tcBorders>
              <w:top w:val="single" w:color="auto" w:sz="4" w:space="0"/>
              <w:left w:val="single" w:color="auto" w:sz="4" w:space="0"/>
              <w:bottom w:val="single" w:color="auto" w:sz="4" w:space="0"/>
            </w:tcBorders>
            <w:noWrap w:val="0"/>
            <w:vAlign w:val="center"/>
          </w:tcPr>
          <w:p>
            <w:pPr>
              <w:jc w:val="center"/>
              <w:rPr>
                <w:rFonts w:hint="eastAsia"/>
              </w:rPr>
            </w:pPr>
            <w:r>
              <w:rPr>
                <w:rFonts w:hint="eastAsia"/>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720" w:type="pct"/>
            <w:tcBorders>
              <w:top w:val="single" w:color="auto" w:sz="4" w:space="0"/>
              <w:bottom w:val="single" w:color="auto" w:sz="4" w:space="0"/>
            </w:tcBorders>
            <w:noWrap w:val="0"/>
            <w:vAlign w:val="center"/>
          </w:tcPr>
          <w:p>
            <w:pPr>
              <w:rPr>
                <w:rFonts w:hint="eastAsia"/>
                <w:lang w:val="en-US" w:eastAsia="zh-CN"/>
              </w:rPr>
            </w:pPr>
            <w:r>
              <w:rPr>
                <w:rFonts w:hint="eastAsia"/>
              </w:rPr>
              <w:t>报价</w:t>
            </w:r>
            <w:r>
              <w:rPr>
                <w:rFonts w:hint="eastAsia"/>
                <w:lang w:val="en-US" w:eastAsia="zh-CN"/>
              </w:rPr>
              <w:t>部分</w:t>
            </w:r>
          </w:p>
        </w:tc>
        <w:tc>
          <w:tcPr>
            <w:tcW w:w="2517" w:type="pct"/>
            <w:tcBorders>
              <w:top w:val="single" w:color="auto" w:sz="4" w:space="0"/>
              <w:bottom w:val="single" w:color="auto" w:sz="4" w:space="0"/>
              <w:right w:val="single" w:color="auto" w:sz="4" w:space="0"/>
            </w:tcBorders>
            <w:noWrap w:val="0"/>
            <w:vAlign w:val="center"/>
          </w:tcPr>
          <w:p>
            <w:pPr>
              <w:rPr>
                <w:rFonts w:hint="eastAsia"/>
                <w:lang w:eastAsia="zh-CN"/>
              </w:rPr>
            </w:pPr>
            <w:r>
              <w:rPr>
                <w:rFonts w:hint="eastAsia"/>
              </w:rPr>
              <w:t>A1=1</w:t>
            </w:r>
            <w:r>
              <w:rPr>
                <w:rFonts w:hint="eastAsia"/>
                <w:lang w:val="en-US" w:eastAsia="zh-CN"/>
              </w:rPr>
              <w:t>5</w:t>
            </w:r>
          </w:p>
        </w:tc>
        <w:tc>
          <w:tcPr>
            <w:tcW w:w="763" w:type="pct"/>
            <w:tcBorders>
              <w:top w:val="single" w:color="auto" w:sz="4" w:space="0"/>
              <w:left w:val="single" w:color="auto" w:sz="4" w:space="0"/>
              <w:bottom w:val="single" w:color="auto" w:sz="4" w:space="0"/>
            </w:tcBorders>
            <w:noWrap w:val="0"/>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1720" w:type="pct"/>
            <w:tcBorders>
              <w:top w:val="single" w:color="auto" w:sz="4" w:space="0"/>
              <w:bottom w:val="single" w:color="auto" w:sz="4" w:space="0"/>
            </w:tcBorders>
            <w:noWrap w:val="0"/>
            <w:vAlign w:val="center"/>
          </w:tcPr>
          <w:p>
            <w:pPr>
              <w:rPr>
                <w:rFonts w:hint="eastAsia"/>
              </w:rPr>
            </w:pPr>
            <w:r>
              <w:rPr>
                <w:rFonts w:hint="eastAsia"/>
              </w:rPr>
              <w:t>技术部分</w:t>
            </w:r>
          </w:p>
        </w:tc>
        <w:tc>
          <w:tcPr>
            <w:tcW w:w="2517" w:type="pct"/>
            <w:tcBorders>
              <w:top w:val="single" w:color="auto" w:sz="4" w:space="0"/>
              <w:bottom w:val="single" w:color="auto" w:sz="4" w:space="0"/>
              <w:right w:val="single" w:color="auto" w:sz="4" w:space="0"/>
            </w:tcBorders>
            <w:noWrap w:val="0"/>
            <w:vAlign w:val="center"/>
          </w:tcPr>
          <w:p>
            <w:r>
              <w:rPr>
                <w:rFonts w:hint="eastAsia"/>
              </w:rPr>
              <w:t>A2=50</w:t>
            </w:r>
          </w:p>
        </w:tc>
        <w:tc>
          <w:tcPr>
            <w:tcW w:w="763" w:type="pct"/>
            <w:tcBorders>
              <w:top w:val="single" w:color="auto" w:sz="4" w:space="0"/>
              <w:left w:val="single" w:color="auto" w:sz="4" w:space="0"/>
              <w:bottom w:val="single" w:color="auto" w:sz="4" w:space="0"/>
            </w:tcBorders>
            <w:noWrap w:val="0"/>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1720" w:type="pct"/>
            <w:tcBorders>
              <w:top w:val="single" w:color="auto" w:sz="4" w:space="0"/>
              <w:bottom w:val="double" w:color="auto" w:sz="4" w:space="0"/>
            </w:tcBorders>
            <w:noWrap w:val="0"/>
            <w:vAlign w:val="center"/>
          </w:tcPr>
          <w:p>
            <w:pPr>
              <w:rPr>
                <w:rFonts w:hint="eastAsia"/>
              </w:rPr>
            </w:pPr>
            <w:r>
              <w:rPr>
                <w:rFonts w:hint="eastAsia"/>
              </w:rPr>
              <w:t>商务部分</w:t>
            </w:r>
          </w:p>
        </w:tc>
        <w:tc>
          <w:tcPr>
            <w:tcW w:w="2517" w:type="pct"/>
            <w:tcBorders>
              <w:top w:val="single" w:color="auto" w:sz="4" w:space="0"/>
              <w:bottom w:val="double" w:color="auto" w:sz="4" w:space="0"/>
              <w:right w:val="single" w:color="auto" w:sz="4" w:space="0"/>
            </w:tcBorders>
            <w:noWrap w:val="0"/>
            <w:vAlign w:val="center"/>
          </w:tcPr>
          <w:p>
            <w:pPr>
              <w:rPr>
                <w:rFonts w:hint="default"/>
                <w:lang w:val="en-US" w:eastAsia="zh-CN"/>
              </w:rPr>
            </w:pPr>
            <w:r>
              <w:rPr>
                <w:rFonts w:hint="eastAsia"/>
              </w:rPr>
              <w:t>A3=</w:t>
            </w:r>
            <w:r>
              <w:rPr>
                <w:rFonts w:hint="eastAsia"/>
                <w:lang w:val="en-US" w:eastAsia="zh-CN"/>
              </w:rPr>
              <w:t>35</w:t>
            </w:r>
          </w:p>
        </w:tc>
        <w:tc>
          <w:tcPr>
            <w:tcW w:w="763" w:type="pct"/>
            <w:tcBorders>
              <w:top w:val="single" w:color="auto" w:sz="4" w:space="0"/>
              <w:left w:val="single" w:color="auto" w:sz="4" w:space="0"/>
              <w:bottom w:val="double" w:color="auto" w:sz="4" w:space="0"/>
            </w:tcBorders>
            <w:noWrap w:val="0"/>
            <w:vAlign w:val="center"/>
          </w:tcPr>
          <w:p>
            <w:pPr>
              <w:rPr>
                <w:rFonts w:hint="eastAsia"/>
              </w:rPr>
            </w:pPr>
          </w:p>
        </w:tc>
      </w:tr>
    </w:tbl>
    <w:p/>
    <w:p>
      <w:pPr>
        <w:rPr>
          <w:rFonts w:hint="eastAsia" w:eastAsia="宋体"/>
          <w:lang w:eastAsia="zh-CN"/>
        </w:rPr>
      </w:pPr>
      <w:r>
        <w:rPr>
          <w:rFonts w:hint="eastAsia"/>
          <w:b/>
          <w:bCs/>
        </w:rPr>
        <w:t>评标方法及标准</w:t>
      </w:r>
      <w:r>
        <w:rPr>
          <w:rFonts w:hint="eastAsia"/>
          <w:lang w:eastAsia="zh-CN"/>
        </w:rPr>
        <w:t>（</w:t>
      </w:r>
      <w:r>
        <w:rPr>
          <w:rFonts w:hint="eastAsia"/>
          <w:lang w:val="en-US" w:eastAsia="zh-CN"/>
        </w:rPr>
        <w:t>本评分办法中，各评分类别--报价部分、技术部分、商务部分的最终得分，均按“该类别权值×该类别分值评审得分”的公式计算得出。</w:t>
      </w:r>
      <w:r>
        <w:rPr>
          <w:rFonts w:hint="eastAsia"/>
          <w:lang w:eastAsia="zh-CN"/>
        </w:rPr>
        <w:t>）</w:t>
      </w:r>
    </w:p>
    <w:tbl>
      <w:tblPr>
        <w:tblStyle w:val="2"/>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1506"/>
        <w:gridCol w:w="899"/>
        <w:gridCol w:w="62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rPr>
              <w:t>类别</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rPr>
              <w:t>计分因素</w:t>
            </w:r>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rPr>
              <w:t>分值</w:t>
            </w:r>
          </w:p>
        </w:tc>
        <w:tc>
          <w:tcPr>
            <w:tcW w:w="31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rPr>
              <w:t>评分标准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报价部分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eastAsia="zh-CN"/>
              </w:rPr>
              <w:t>（</w:t>
            </w:r>
            <w:r>
              <w:rPr>
                <w:rFonts w:hint="eastAsia"/>
                <w:lang w:val="en-US" w:eastAsia="zh-CN"/>
              </w:rPr>
              <w:t>15</w:t>
            </w:r>
            <w:r>
              <w:rPr>
                <w:rFonts w:hint="eastAsia"/>
                <w:lang w:eastAsia="zh-CN"/>
              </w:rPr>
              <w:t>）</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磋商总价</w:t>
            </w:r>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lang w:val="en-US" w:eastAsia="zh-CN"/>
              </w:rPr>
            </w:pPr>
            <w:r>
              <w:rPr>
                <w:rFonts w:hint="eastAsia"/>
              </w:rPr>
              <w:t>100</w:t>
            </w:r>
            <w:r>
              <w:rPr>
                <w:rFonts w:hint="eastAsia"/>
                <w:lang w:val="en-US" w:eastAsia="zh-CN"/>
              </w:rPr>
              <w:t>分</w:t>
            </w:r>
          </w:p>
        </w:tc>
        <w:tc>
          <w:tcPr>
            <w:tcW w:w="31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满足竞争性磋商公告要求且投标报价中最低的投标报价为评标基准价</w:t>
            </w:r>
            <w:r>
              <w:rPr>
                <w:rFonts w:hint="eastAsia"/>
                <w:lang w:eastAsia="zh-CN"/>
              </w:rPr>
              <w:t>，</w:t>
            </w:r>
            <w:r>
              <w:rPr>
                <w:rFonts w:hint="eastAsia"/>
              </w:rPr>
              <w:t>其价格分为满分；其他投标人的价格分统一按照以下公式计算：投标报价得分=（评标基准价/投标报价）×价格权值×100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技术</w:t>
            </w:r>
            <w:r>
              <w:rPr>
                <w:rFonts w:hint="eastAsia"/>
              </w:rPr>
              <w:t>部分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eastAsia="zh-CN"/>
              </w:rPr>
              <w:t>（</w:t>
            </w:r>
            <w:r>
              <w:rPr>
                <w:rFonts w:hint="eastAsia"/>
                <w:lang w:val="en-US" w:eastAsia="zh-CN"/>
              </w:rPr>
              <w:t>50</w:t>
            </w:r>
            <w:r>
              <w:rPr>
                <w:rFonts w:hint="eastAsia"/>
                <w:lang w:eastAsia="zh-CN"/>
              </w:rPr>
              <w:t>）</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技术方案</w:t>
            </w:r>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eastAsia="宋体"/>
                <w:lang w:val="en-US" w:eastAsia="zh-CN"/>
              </w:rPr>
              <w:t>40分</w:t>
            </w:r>
          </w:p>
        </w:tc>
        <w:tc>
          <w:tcPr>
            <w:tcW w:w="31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根据投标人针对本项目提供的项目设计方案进行综合评审，方案应包含但不限于：方案总体目标、技术路线、总体架构、现状描述、建设必要性等内容。方</w:t>
            </w:r>
            <w:r>
              <w:rPr>
                <w:rFonts w:hint="eastAsia" w:eastAsia="宋体"/>
              </w:rPr>
              <w:t>案完全满足项目需求的得</w:t>
            </w:r>
            <w:r>
              <w:rPr>
                <w:rFonts w:hint="eastAsia" w:eastAsia="宋体"/>
                <w:lang w:val="en-US" w:eastAsia="zh-CN"/>
              </w:rPr>
              <w:t>40</w:t>
            </w:r>
            <w:r>
              <w:rPr>
                <w:rFonts w:hint="eastAsia" w:eastAsia="宋体"/>
              </w:rPr>
              <w:t>分，每有一处缺漏项或不合理的扣</w:t>
            </w:r>
            <w:r>
              <w:rPr>
                <w:rFonts w:hint="eastAsia" w:eastAsia="宋体"/>
                <w:lang w:val="en-US" w:eastAsia="zh-CN"/>
              </w:rPr>
              <w:t>8</w:t>
            </w:r>
            <w:r>
              <w:rPr>
                <w:rFonts w:hint="eastAsia" w:eastAsia="宋体"/>
              </w:rPr>
              <w:t>分，有不完善或欠合理每处扣</w:t>
            </w:r>
            <w:r>
              <w:rPr>
                <w:rFonts w:hint="eastAsia" w:eastAsia="宋体"/>
                <w:lang w:val="en-US" w:eastAsia="zh-CN"/>
              </w:rPr>
              <w:t>4</w:t>
            </w:r>
            <w:r>
              <w:rPr>
                <w:rFonts w:hint="eastAsia" w:eastAsia="宋体"/>
              </w:rPr>
              <w:t>分，扣完为止。未提供方案的不得分。（说明：1、缺漏项是指该项内容未提供具体的方案内容，或者整段内容照搬磋商公告服务内容；不合理是指非专门针对本项目或者不适用项目的情形，内容不完整或者缺少关键安排，套用其他项目方案、内容前后矛盾、表述错误；2、方案不完善或欠合理是指项目名称不符、未贴合服务内容、方案内容与项目需求不一致或没有关联性、涉及的技术规范标准等与国家标准或行业标准或竞争性磋商公告要求不一致</w:t>
            </w:r>
            <w:r>
              <w:rPr>
                <w:rFonts w:hint="eastAsia"/>
                <w:lang w:eastAsia="zh-CN"/>
              </w:rPr>
              <w:t>。</w:t>
            </w:r>
            <w:r>
              <w:rPr>
                <w:rFonts w:hint="eastAsia" w:eastAsia="宋体"/>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实施方案</w:t>
            </w:r>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eastAsia="宋体"/>
                <w:lang w:val="en-US" w:eastAsia="zh-CN"/>
              </w:rPr>
              <w:t>32分</w:t>
            </w:r>
          </w:p>
        </w:tc>
        <w:tc>
          <w:tcPr>
            <w:tcW w:w="31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供应商准确理解项目建设目的与需求，提供完整实施方案，包括但不限于：项目实施方案、安全设计方案、系统部署方案、运维管理方案。</w:t>
            </w:r>
            <w:r>
              <w:rPr>
                <w:rFonts w:hint="eastAsia" w:eastAsia="宋体"/>
              </w:rPr>
              <w:t>经采购人评估，方</w:t>
            </w:r>
            <w:r>
              <w:rPr>
                <w:rFonts w:hint="eastAsia"/>
              </w:rPr>
              <w:t>案完全满足项目需求的得32分，每有一处缺漏项或不合理的扣8分，有不完善或欠合理每处扣4分，扣完为止。未提供方案的不得分。（说明：1、缺漏项是指该项内容未提供具体的方案内容，或者整段内容照搬磋商公告服务内容；不合理是指非专门针对本项目或者不适用项目的情形，内容不完整或者缺少关键安排，套用其他项目方案、内容前后矛盾、表述错误；2、方案不完善或欠合理是指项目名称不符、未贴合服务内容、方案内容与项目需求不一致或没有关联性、涉及的技术规范标准等与国家标准或行业标准或竞争性磋商公告要求不一致</w:t>
            </w:r>
            <w:r>
              <w:rPr>
                <w:rFonts w:hint="eastAsia"/>
                <w:lang w:eastAsia="zh-CN"/>
              </w:rPr>
              <w:t>。</w:t>
            </w: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项目实施机构</w:t>
            </w:r>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eastAsia="宋体"/>
                <w:lang w:val="en-US" w:eastAsia="zh-CN"/>
              </w:rPr>
              <w:t>28分</w:t>
            </w:r>
          </w:p>
        </w:tc>
        <w:tc>
          <w:tcPr>
            <w:tcW w:w="31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rPr>
            </w:pPr>
            <w:r>
              <w:rPr>
                <w:rFonts w:hint="eastAsia" w:eastAsia="宋体"/>
              </w:rPr>
              <w:t>本项目的实施团队核心成员要求如下：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rPr>
            </w:pPr>
            <w:r>
              <w:rPr>
                <w:rFonts w:hint="eastAsia" w:eastAsia="宋体"/>
              </w:rPr>
              <w:t>1、投标人为本项目配备1名专职于本项目的项目经理，项目经理需具有以下证书：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rPr>
            </w:pPr>
            <w:r>
              <w:rPr>
                <w:rFonts w:hint="eastAsia" w:eastAsia="宋体"/>
              </w:rPr>
              <w:t>1）信息系统项目管理师（高级）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rPr>
            </w:pPr>
            <w:r>
              <w:rPr>
                <w:rFonts w:hint="eastAsia" w:eastAsia="宋体"/>
              </w:rPr>
              <w:t>2）系统架构设计师（高级）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rPr>
            </w:pPr>
            <w:r>
              <w:rPr>
                <w:rFonts w:hint="eastAsia" w:eastAsia="宋体"/>
              </w:rPr>
              <w:t>3）高级工程师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rPr>
            </w:pPr>
            <w:r>
              <w:rPr>
                <w:rFonts w:hint="eastAsia" w:eastAsia="宋体"/>
              </w:rPr>
              <w:t>以上每项证书计</w:t>
            </w:r>
            <w:r>
              <w:rPr>
                <w:rFonts w:hint="eastAsia" w:eastAsia="宋体"/>
                <w:lang w:val="en-US" w:eastAsia="zh-CN"/>
              </w:rPr>
              <w:t>4</w:t>
            </w:r>
            <w:r>
              <w:rPr>
                <w:rFonts w:hint="eastAsia" w:eastAsia="宋体"/>
              </w:rPr>
              <w:t>分，最高计</w:t>
            </w:r>
            <w:r>
              <w:rPr>
                <w:rFonts w:hint="eastAsia" w:eastAsia="宋体"/>
                <w:lang w:val="en-US" w:eastAsia="zh-CN"/>
              </w:rPr>
              <w:t>12</w:t>
            </w:r>
            <w:r>
              <w:rPr>
                <w:rFonts w:hint="eastAsia" w:eastAsia="宋体"/>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rPr>
            </w:pPr>
            <w:r>
              <w:rPr>
                <w:rFonts w:hint="eastAsia" w:eastAsia="宋体"/>
              </w:rPr>
              <w:t>2、投标人为本项目配置的核心成员具有系统分析师、网络工程师、软件设计师、系统集成项目管理工程师等，每提供一个证书计</w:t>
            </w:r>
            <w:r>
              <w:rPr>
                <w:rFonts w:hint="eastAsia" w:eastAsia="宋体"/>
                <w:lang w:val="en-US" w:eastAsia="zh-CN"/>
              </w:rPr>
              <w:t>4</w:t>
            </w:r>
            <w:r>
              <w:rPr>
                <w:rFonts w:hint="eastAsia" w:eastAsia="宋体"/>
              </w:rPr>
              <w:t>分，同一人员满足要求不重复计分，最多计</w:t>
            </w:r>
            <w:r>
              <w:rPr>
                <w:rFonts w:hint="eastAsia" w:eastAsia="宋体"/>
                <w:lang w:val="en-US" w:eastAsia="zh-CN"/>
              </w:rPr>
              <w:t>16</w:t>
            </w:r>
            <w:r>
              <w:rPr>
                <w:rFonts w:hint="eastAsia" w:eastAsia="宋体"/>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rPr>
            </w:pPr>
            <w:r>
              <w:rPr>
                <w:rFonts w:hint="eastAsia" w:eastAsia="宋体"/>
              </w:rPr>
              <w:t>以上证书要求提供证书复印件、近一年内任意连续3个月社保证明并加盖投标人公章或者投标专用章，未提供的不得分。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商务部分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eastAsia="zh-CN"/>
              </w:rPr>
              <w:t>（</w:t>
            </w:r>
            <w:r>
              <w:rPr>
                <w:rFonts w:hint="eastAsia"/>
                <w:lang w:val="en-US" w:eastAsia="zh-CN"/>
              </w:rPr>
              <w:t>35</w:t>
            </w:r>
            <w:r>
              <w:rPr>
                <w:rFonts w:hint="eastAsia"/>
                <w:lang w:eastAsia="zh-CN"/>
              </w:rPr>
              <w:t>）</w:t>
            </w: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投标人业绩</w:t>
            </w:r>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15</w:t>
            </w:r>
            <w:r>
              <w:rPr>
                <w:rFonts w:hint="eastAsia"/>
                <w:lang w:val="en-US" w:eastAsia="zh-CN"/>
              </w:rPr>
              <w:t>分</w:t>
            </w:r>
          </w:p>
        </w:tc>
        <w:tc>
          <w:tcPr>
            <w:tcW w:w="31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投标人自2022年以来，签订的同类项目案例，每个计5分，最多计15分。提供合同扫描件关键页（合同扫描件须体现项目名称、项目内容，至少包含首页、签章页、合同内容页等关键页）并加盖投标人公章或者投标专用章，否则不计分</w:t>
            </w:r>
            <w:r>
              <w:rPr>
                <w:rFonts w:hint="eastAsia" w:eastAsia="宋体"/>
              </w:rPr>
              <w:t>；且采购人有权对提供的合同扫描件进行核实，如发现虚假或不实信息，投标人将承担相应法律责任，并可能被取消投标资格。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投标人综合实力</w:t>
            </w:r>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30分</w:t>
            </w:r>
          </w:p>
        </w:tc>
        <w:tc>
          <w:tcPr>
            <w:tcW w:w="31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为保障项目的实施顺畅，从服务管理、信息安全、业务连续性等方面考虑，投标人具备信息技术服务管理体系认证、信息安全管理体系认证、业务连续性管理体系认证的，每项计10分，最多计30分，要求提供相关有效认证证书扫描件并加盖投标人公章或者投标专用章，未提供的不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投标人技术支撑能力</w:t>
            </w:r>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eastAsia="zh-CN"/>
              </w:rPr>
            </w:pPr>
            <w:r>
              <w:rPr>
                <w:rFonts w:hint="eastAsia"/>
              </w:rPr>
              <w:t>4</w:t>
            </w:r>
            <w:r>
              <w:rPr>
                <w:rFonts w:hint="eastAsia"/>
                <w:lang w:val="en-US" w:eastAsia="zh-CN"/>
              </w:rPr>
              <w:t>0分</w:t>
            </w:r>
          </w:p>
        </w:tc>
        <w:tc>
          <w:tcPr>
            <w:tcW w:w="31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rPr>
            </w:pPr>
            <w:r>
              <w:rPr>
                <w:rFonts w:hint="eastAsia"/>
              </w:rPr>
              <w:t>1、投标人具有国家计算机网络应急技术处理协调中心颁发的CNVD 国家信息安全漏洞共享平台支</w:t>
            </w:r>
            <w:r>
              <w:rPr>
                <w:rFonts w:hint="eastAsia" w:eastAsia="宋体"/>
              </w:rPr>
              <w:t>撑单位证书，且证书在有效期内，计10分，没有的不计分。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2、投标人具有中国信息安全测评中心颁发的信息安全服务资质证书：安全工程类二级及以上认证计10分，一级计5分，未提供不计分</w:t>
            </w:r>
            <w:r>
              <w:rPr>
                <w:rFonts w:hint="eastAsia"/>
                <w:color w:val="FF0000"/>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3、投标人具有中国网络安全审查技术与认证中心颁发的信息安全服务资质认证证书（信息安全应急处理），一级计10分，一级以下计5分，未提供不计分。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4、投标人具有ITSS信息技术服务标准符合性证书-智能运维认证的计10分，没有的不计分。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以上证书需提供在有效期内的证书复印件并加盖投标人公章或投标专用章，未提供的不计分。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6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售后服务方案</w:t>
            </w:r>
          </w:p>
        </w:tc>
        <w:tc>
          <w:tcPr>
            <w:tcW w:w="45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15</w:t>
            </w:r>
            <w:r>
              <w:rPr>
                <w:rFonts w:hint="eastAsia"/>
                <w:lang w:val="en-US" w:eastAsia="zh-CN"/>
              </w:rPr>
              <w:t>分</w:t>
            </w:r>
          </w:p>
        </w:tc>
        <w:tc>
          <w:tcPr>
            <w:tcW w:w="31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根据投标人针对本项目提供的售后服务方案进行综合评审，方案应包含但不限于：售后服务承诺、售后服务体系、售后服务团队配置、故障响应时间、售后维护响应计划等内容，方案完全满足项目需求的得15分，每有一处</w:t>
            </w:r>
            <w:r>
              <w:rPr>
                <w:rFonts w:hint="eastAsia" w:eastAsia="宋体"/>
              </w:rPr>
              <w:t>缺漏项或不合理的扣3分，有不完善或欠合理每处扣1.5分，扣完为止。未提供方案的不得分。（说明：1、缺漏项是指该项内容未提供具体的方案内容，或者整段内容照搬磋商公告服务内容；不合理是指非专门针对本项目或者不适用项目的情形，内容不完整或者缺少关键安排，套用其他项目方案、内容前后矛盾、表述错误；2、方案不完善或欠合理是指项目名称不符、未贴合服务内容、方案内容与项目需求不一致或没有关联性、涉及的技术规范标准等与国家标准或行业标准或竞</w:t>
            </w:r>
            <w:r>
              <w:rPr>
                <w:rFonts w:hint="eastAsia"/>
              </w:rPr>
              <w:t>争性磋商公告要求不一致</w:t>
            </w:r>
            <w:r>
              <w:rPr>
                <w:rFonts w:hint="eastAsia"/>
                <w:lang w:eastAsia="zh-CN"/>
              </w:rPr>
              <w:t>。</w:t>
            </w:r>
            <w:bookmarkStart w:id="0" w:name="_GoBack"/>
            <w:bookmarkEnd w:id="0"/>
            <w:r>
              <w:rPr>
                <w:rFonts w:hint="eastAsia"/>
              </w:rPr>
              <w:t>）</w:t>
            </w:r>
          </w:p>
        </w:tc>
      </w:tr>
    </w:tbl>
    <w:p>
      <w:pPr>
        <w:rPr>
          <w:rFonts w:hint="eastAsia"/>
          <w:lang w:val="en-US" w:eastAsia="zh-CN"/>
        </w:rPr>
      </w:pPr>
    </w:p>
    <w:p>
      <w:pPr>
        <w:rPr>
          <w:rFonts w:hint="eastAsia"/>
        </w:rPr>
      </w:pPr>
    </w:p>
    <w:p>
      <w:pPr>
        <w:rPr>
          <w:rFonts w:hint="eastAsia"/>
        </w:rPr>
      </w:pPr>
    </w:p>
    <w:p/>
    <w:sectPr>
      <w:pgSz w:w="11906" w:h="16838"/>
      <w:pgMar w:top="1497" w:right="866" w:bottom="1327" w:left="138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BEE5AA8"/>
    <w:rsid w:val="1FE66AFD"/>
    <w:rsid w:val="4A275310"/>
    <w:rsid w:val="7D5D45FF"/>
    <w:rsid w:val="F95DA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annotation reference"/>
    <w:basedOn w:val="3"/>
    <w:qFormat/>
    <w:uiPriority w:val="0"/>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2119</Words>
  <Characters>2169</Characters>
  <Lines>0</Lines>
  <Paragraphs>0</Paragraphs>
  <TotalTime>17</TotalTime>
  <ScaleCrop>false</ScaleCrop>
  <LinksUpToDate>false</LinksUpToDate>
  <CharactersWithSpaces>2170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2025-10-15T09:23:00Z</dcterms:created>
  <dc:creator>mac</dc:creator>
  <cp:lastModifiedBy>greatwall</cp:lastModifiedBy>
  <dcterms:modified xsi:type="dcterms:W3CDTF">2025-10-15T16:52:52Z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B556296F6CB2401CB4ED909F4F8ED8D8_12</vt:lpwstr>
  </property>
  <property fmtid="{D5CDD505-2E9C-101B-9397-08002B2CF9AE}" pid="3" name="KSOProductBuildVer">
    <vt:lpwstr>2052-12.8.2.1112</vt:lpwstr>
  </property>
  <property fmtid="{D5CDD505-2E9C-101B-9397-08002B2CF9AE}" pid="4" name="KSOTemplateDocerSaveRecord">
    <vt:lpwstr>eyJoZGlkIjoiZGE2Mjg2YTZkZTMyMTYwY2M1OTQ5YzJlN2MyYmRjOGEiLCJ1c2VySWQiOiI3NDc1NDE0MzEifQ==</vt:lpwstr>
  </property>
</Properties>
</file>