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textAlignment w:val="auto"/>
        <w:rPr>
          <w:rFonts w:hint="eastAsia" w:asciiTheme="majorEastAsia" w:hAnsiTheme="majorEastAsia" w:eastAsiaTheme="majorEastAsia" w:cstheme="majorEastAsia"/>
          <w:b w:val="0"/>
          <w:bCs w:val="0"/>
          <w:color w:val="auto"/>
          <w:kern w:val="0"/>
          <w:sz w:val="36"/>
          <w:szCs w:val="36"/>
          <w:lang w:val="en-US" w:eastAsia="zh-CN" w:bidi="ar"/>
        </w:rPr>
      </w:pPr>
      <w:r>
        <w:rPr>
          <w:rFonts w:hint="eastAsia" w:asciiTheme="majorEastAsia" w:hAnsiTheme="majorEastAsia" w:eastAsiaTheme="majorEastAsia" w:cstheme="majorEastAsia"/>
          <w:b/>
          <w:bCs/>
          <w:color w:val="auto"/>
          <w:sz w:val="36"/>
          <w:szCs w:val="36"/>
          <w:lang w:val="en-US" w:eastAsia="zh-CN"/>
        </w:rPr>
        <w:t>附件</w:t>
      </w:r>
    </w:p>
    <w:p>
      <w:pPr>
        <w:keepNext w:val="0"/>
        <w:keepLines w:val="0"/>
        <w:pageBreakBefore w:val="0"/>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b w:val="0"/>
          <w:bCs w:val="0"/>
          <w:color w:val="auto"/>
          <w:kern w:val="0"/>
          <w:sz w:val="36"/>
          <w:szCs w:val="36"/>
          <w:lang w:val="en-US" w:eastAsia="zh-CN" w:bidi="ar"/>
        </w:rPr>
      </w:pPr>
    </w:p>
    <w:p>
      <w:pPr>
        <w:keepNext w:val="0"/>
        <w:keepLines w:val="0"/>
        <w:pageBreakBefore w:val="0"/>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b/>
          <w:bCs/>
          <w:color w:val="auto"/>
          <w:sz w:val="36"/>
          <w:szCs w:val="36"/>
        </w:rPr>
      </w:pPr>
      <w:r>
        <w:rPr>
          <w:rFonts w:hint="eastAsia" w:asciiTheme="majorEastAsia" w:hAnsiTheme="majorEastAsia" w:eastAsiaTheme="majorEastAsia" w:cstheme="majorEastAsia"/>
          <w:b w:val="0"/>
          <w:bCs w:val="0"/>
          <w:color w:val="auto"/>
          <w:kern w:val="0"/>
          <w:sz w:val="36"/>
          <w:szCs w:val="36"/>
          <w:lang w:val="en-US" w:eastAsia="zh-CN" w:bidi="ar"/>
        </w:rPr>
        <w:t>“</w:t>
      </w:r>
      <w:r>
        <w:rPr>
          <w:rFonts w:hint="eastAsia" w:asciiTheme="majorEastAsia" w:hAnsiTheme="majorEastAsia" w:eastAsiaTheme="majorEastAsia" w:cstheme="majorEastAsia"/>
          <w:b/>
          <w:bCs/>
          <w:color w:val="auto"/>
          <w:sz w:val="36"/>
          <w:szCs w:val="36"/>
          <w:lang w:val="en-US" w:eastAsia="zh-CN"/>
        </w:rPr>
        <w:t>弘扬长征精神·争做时代新人”全省青少年主题教育实践活动宣传</w:t>
      </w:r>
      <w:r>
        <w:rPr>
          <w:rFonts w:hint="eastAsia" w:asciiTheme="majorEastAsia" w:hAnsiTheme="majorEastAsia" w:eastAsiaTheme="majorEastAsia" w:cstheme="majorEastAsia"/>
          <w:b/>
          <w:bCs/>
          <w:color w:val="auto"/>
          <w:sz w:val="36"/>
          <w:szCs w:val="36"/>
        </w:rPr>
        <w:t>项目服务</w:t>
      </w:r>
      <w:r>
        <w:rPr>
          <w:rFonts w:hint="eastAsia" w:asciiTheme="majorEastAsia" w:hAnsiTheme="majorEastAsia" w:eastAsiaTheme="majorEastAsia" w:cstheme="majorEastAsia"/>
          <w:b/>
          <w:bCs/>
          <w:color w:val="auto"/>
          <w:sz w:val="36"/>
          <w:szCs w:val="36"/>
          <w:lang w:val="en-US" w:eastAsia="zh-CN"/>
        </w:rPr>
        <w:t>竞争性磋商</w:t>
      </w:r>
      <w:r>
        <w:rPr>
          <w:rFonts w:hint="eastAsia" w:asciiTheme="majorEastAsia" w:hAnsiTheme="majorEastAsia" w:eastAsiaTheme="majorEastAsia" w:cstheme="majorEastAsia"/>
          <w:b/>
          <w:bCs/>
          <w:color w:val="auto"/>
          <w:sz w:val="36"/>
          <w:szCs w:val="36"/>
        </w:rPr>
        <w:t>综合评分表</w:t>
      </w:r>
    </w:p>
    <w:p>
      <w:pPr>
        <w:pStyle w:val="2"/>
        <w:keepNext w:val="0"/>
        <w:keepLines w:val="0"/>
        <w:pageBreakBefore w:val="0"/>
        <w:kinsoku/>
        <w:wordWrap/>
        <w:overflowPunct/>
        <w:topLinePunct w:val="0"/>
        <w:autoSpaceDE/>
        <w:autoSpaceDN/>
        <w:bidi w:val="0"/>
        <w:adjustRightInd/>
        <w:snapToGrid/>
        <w:spacing w:after="0"/>
        <w:textAlignment w:val="auto"/>
        <w:rPr>
          <w:rFonts w:hint="eastAsia" w:asciiTheme="majorEastAsia" w:hAnsiTheme="majorEastAsia" w:eastAsiaTheme="majorEastAsia" w:cstheme="majorEastAsia"/>
          <w:color w:val="auto"/>
          <w:sz w:val="36"/>
          <w:szCs w:val="36"/>
        </w:rPr>
      </w:pPr>
    </w:p>
    <w:tbl>
      <w:tblPr>
        <w:tblStyle w:val="4"/>
        <w:tblpPr w:leftFromText="180" w:rightFromText="180" w:vertAnchor="text" w:horzAnchor="page" w:tblpX="1387" w:tblpY="1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2"/>
        <w:gridCol w:w="3292"/>
        <w:gridCol w:w="3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5" w:type="dxa"/>
            <w:gridSpan w:val="3"/>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r>
              <w:rPr>
                <w:rFonts w:hint="eastAsia"/>
                <w:color w:val="auto"/>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2"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r>
              <w:rPr>
                <w:rFonts w:hint="eastAsia"/>
                <w:color w:val="auto"/>
              </w:rPr>
              <w:t>采购项目定标方式</w:t>
            </w:r>
          </w:p>
        </w:tc>
        <w:tc>
          <w:tcPr>
            <w:tcW w:w="6393" w:type="dxa"/>
            <w:gridSpan w:val="2"/>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r>
              <w:rPr>
                <w:rFonts w:hint="eastAsia"/>
                <w:color w:val="auto"/>
              </w:rPr>
              <w:t>整体定标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2"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r>
              <w:rPr>
                <w:rFonts w:hint="eastAsia"/>
                <w:color w:val="auto"/>
              </w:rPr>
              <w:t>评审因素及权值</w:t>
            </w:r>
          </w:p>
        </w:tc>
        <w:tc>
          <w:tcPr>
            <w:tcW w:w="3292"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p>
        </w:tc>
        <w:tc>
          <w:tcPr>
            <w:tcW w:w="3101"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2"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r>
              <w:rPr>
                <w:rFonts w:hint="eastAsia"/>
                <w:color w:val="auto"/>
              </w:rPr>
              <w:t>评审因素</w:t>
            </w:r>
          </w:p>
        </w:tc>
        <w:tc>
          <w:tcPr>
            <w:tcW w:w="3292"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r>
              <w:rPr>
                <w:rFonts w:hint="eastAsia"/>
                <w:color w:val="auto"/>
              </w:rPr>
              <w:t>权值范围</w:t>
            </w:r>
          </w:p>
        </w:tc>
        <w:tc>
          <w:tcPr>
            <w:tcW w:w="3101"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2" w:type="dxa"/>
            <w:vAlign w:val="center"/>
          </w:tcPr>
          <w:p>
            <w:pPr>
              <w:keepNext w:val="0"/>
              <w:keepLines w:val="0"/>
              <w:pageBreakBefore w:val="0"/>
              <w:kinsoku/>
              <w:wordWrap/>
              <w:overflowPunct/>
              <w:topLinePunct w:val="0"/>
              <w:autoSpaceDE/>
              <w:autoSpaceDN/>
              <w:bidi w:val="0"/>
              <w:adjustRightInd/>
              <w:snapToGrid/>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eastAsia="zh-CN"/>
              </w:rPr>
              <w:t>报价</w:t>
            </w:r>
            <w:r>
              <w:rPr>
                <w:rFonts w:hint="eastAsia"/>
                <w:color w:val="auto"/>
                <w:lang w:val="en-US" w:eastAsia="zh-CN"/>
              </w:rPr>
              <w:t>部分</w:t>
            </w:r>
          </w:p>
        </w:tc>
        <w:tc>
          <w:tcPr>
            <w:tcW w:w="3292" w:type="dxa"/>
            <w:vAlign w:val="center"/>
          </w:tcPr>
          <w:p>
            <w:pPr>
              <w:keepNext w:val="0"/>
              <w:keepLines w:val="0"/>
              <w:pageBreakBefore w:val="0"/>
              <w:kinsoku/>
              <w:wordWrap/>
              <w:overflowPunct/>
              <w:topLinePunct w:val="0"/>
              <w:autoSpaceDE/>
              <w:autoSpaceDN/>
              <w:bidi w:val="0"/>
              <w:adjustRightInd/>
              <w:snapToGrid/>
              <w:textAlignment w:val="auto"/>
              <w:rPr>
                <w:rFonts w:hint="eastAsia" w:ascii="Times New Roman" w:hAnsi="Times New Roman" w:eastAsia="宋体" w:cs="Times New Roman"/>
                <w:color w:val="auto"/>
                <w:kern w:val="2"/>
                <w:sz w:val="21"/>
                <w:szCs w:val="24"/>
                <w:lang w:val="en-US" w:eastAsia="zh-CN" w:bidi="ar-SA"/>
              </w:rPr>
            </w:pPr>
            <w:r>
              <w:rPr>
                <w:rFonts w:hint="eastAsia"/>
                <w:color w:val="auto"/>
              </w:rPr>
              <w:t>A1=</w:t>
            </w:r>
            <w:r>
              <w:rPr>
                <w:rFonts w:hint="eastAsia"/>
                <w:color w:val="auto"/>
                <w:lang w:val="en-US" w:eastAsia="zh-CN"/>
              </w:rPr>
              <w:t>15</w:t>
            </w:r>
          </w:p>
        </w:tc>
        <w:tc>
          <w:tcPr>
            <w:tcW w:w="3101"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2" w:type="dxa"/>
            <w:vAlign w:val="center"/>
          </w:tcPr>
          <w:p>
            <w:pPr>
              <w:keepNext w:val="0"/>
              <w:keepLines w:val="0"/>
              <w:pageBreakBefore w:val="0"/>
              <w:kinsoku/>
              <w:wordWrap/>
              <w:overflowPunct/>
              <w:topLinePunct w:val="0"/>
              <w:autoSpaceDE/>
              <w:autoSpaceDN/>
              <w:bidi w:val="0"/>
              <w:adjustRightInd/>
              <w:snapToGrid/>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eastAsia="zh-CN"/>
              </w:rPr>
              <w:t>技术</w:t>
            </w:r>
            <w:r>
              <w:rPr>
                <w:rFonts w:hint="eastAsia"/>
                <w:color w:val="auto"/>
              </w:rPr>
              <w:t>部分</w:t>
            </w:r>
          </w:p>
        </w:tc>
        <w:tc>
          <w:tcPr>
            <w:tcW w:w="3292" w:type="dxa"/>
            <w:vAlign w:val="center"/>
          </w:tcPr>
          <w:p>
            <w:pPr>
              <w:keepNext w:val="0"/>
              <w:keepLines w:val="0"/>
              <w:pageBreakBefore w:val="0"/>
              <w:kinsoku/>
              <w:wordWrap/>
              <w:overflowPunct/>
              <w:topLinePunct w:val="0"/>
              <w:autoSpaceDE/>
              <w:autoSpaceDN/>
              <w:bidi w:val="0"/>
              <w:adjustRightInd/>
              <w:snapToGrid/>
              <w:textAlignment w:val="auto"/>
              <w:rPr>
                <w:rFonts w:hint="eastAsia" w:ascii="Times New Roman" w:hAnsi="Times New Roman" w:eastAsia="宋体" w:cs="Times New Roman"/>
                <w:color w:val="auto"/>
                <w:kern w:val="2"/>
                <w:sz w:val="21"/>
                <w:szCs w:val="24"/>
                <w:lang w:val="en-US" w:eastAsia="zh-CN" w:bidi="ar-SA"/>
              </w:rPr>
            </w:pPr>
            <w:r>
              <w:rPr>
                <w:rFonts w:hint="eastAsia"/>
                <w:color w:val="auto"/>
              </w:rPr>
              <w:t>A2=</w:t>
            </w:r>
            <w:r>
              <w:rPr>
                <w:rFonts w:hint="eastAsia"/>
                <w:color w:val="auto"/>
                <w:lang w:val="en-US" w:eastAsia="zh-CN"/>
              </w:rPr>
              <w:t>50</w:t>
            </w:r>
          </w:p>
        </w:tc>
        <w:tc>
          <w:tcPr>
            <w:tcW w:w="3101"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2" w:type="dxa"/>
            <w:vAlign w:val="center"/>
          </w:tcPr>
          <w:p>
            <w:pPr>
              <w:keepNext w:val="0"/>
              <w:keepLines w:val="0"/>
              <w:pageBreakBefore w:val="0"/>
              <w:kinsoku/>
              <w:wordWrap/>
              <w:overflowPunct/>
              <w:topLinePunct w:val="0"/>
              <w:autoSpaceDE/>
              <w:autoSpaceDN/>
              <w:bidi w:val="0"/>
              <w:adjustRightInd/>
              <w:snapToGrid/>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eastAsia="zh-CN"/>
              </w:rPr>
              <w:t>商务</w:t>
            </w:r>
            <w:r>
              <w:rPr>
                <w:rFonts w:hint="eastAsia"/>
                <w:color w:val="auto"/>
              </w:rPr>
              <w:t>部分</w:t>
            </w:r>
            <w:r>
              <w:rPr>
                <w:rFonts w:hint="eastAsia"/>
                <w:color w:val="auto"/>
                <w:lang w:eastAsia="zh-CN"/>
              </w:rPr>
              <w:t>（资质）</w:t>
            </w:r>
          </w:p>
        </w:tc>
        <w:tc>
          <w:tcPr>
            <w:tcW w:w="3292" w:type="dxa"/>
            <w:vAlign w:val="center"/>
          </w:tcPr>
          <w:p>
            <w:pPr>
              <w:keepNext w:val="0"/>
              <w:keepLines w:val="0"/>
              <w:pageBreakBefore w:val="0"/>
              <w:kinsoku/>
              <w:wordWrap/>
              <w:overflowPunct/>
              <w:topLinePunct w:val="0"/>
              <w:autoSpaceDE/>
              <w:autoSpaceDN/>
              <w:bidi w:val="0"/>
              <w:adjustRightInd/>
              <w:snapToGrid/>
              <w:textAlignment w:val="auto"/>
              <w:rPr>
                <w:rFonts w:hint="eastAsia" w:ascii="Times New Roman" w:hAnsi="Times New Roman" w:eastAsia="宋体" w:cs="Times New Roman"/>
                <w:color w:val="auto"/>
                <w:kern w:val="2"/>
                <w:sz w:val="21"/>
                <w:szCs w:val="24"/>
                <w:lang w:val="en-US" w:eastAsia="zh-CN" w:bidi="ar-SA"/>
              </w:rPr>
            </w:pPr>
            <w:r>
              <w:rPr>
                <w:rFonts w:hint="eastAsia"/>
                <w:color w:val="auto"/>
              </w:rPr>
              <w:t>A3=</w:t>
            </w:r>
            <w:r>
              <w:rPr>
                <w:rFonts w:hint="eastAsia"/>
                <w:color w:val="auto"/>
                <w:lang w:val="en-US" w:eastAsia="zh-CN"/>
              </w:rPr>
              <w:t>35</w:t>
            </w:r>
          </w:p>
        </w:tc>
        <w:tc>
          <w:tcPr>
            <w:tcW w:w="3101"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2"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p>
        </w:tc>
        <w:tc>
          <w:tcPr>
            <w:tcW w:w="3292"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p>
        </w:tc>
        <w:tc>
          <w:tcPr>
            <w:tcW w:w="3101" w:type="dxa"/>
          </w:tcPr>
          <w:p>
            <w:pPr>
              <w:pStyle w:val="2"/>
              <w:keepNext w:val="0"/>
              <w:keepLines w:val="0"/>
              <w:pageBreakBefore w:val="0"/>
              <w:kinsoku/>
              <w:wordWrap/>
              <w:overflowPunct/>
              <w:topLinePunct w:val="0"/>
              <w:autoSpaceDE/>
              <w:autoSpaceDN/>
              <w:bidi w:val="0"/>
              <w:adjustRightInd/>
              <w:snapToGrid/>
              <w:spacing w:after="0"/>
              <w:textAlignment w:val="auto"/>
              <w:rPr>
                <w:rFonts w:hint="eastAsia"/>
                <w:color w:val="auto"/>
                <w:vertAlign w:val="baseline"/>
              </w:rPr>
            </w:pPr>
          </w:p>
        </w:tc>
      </w:tr>
    </w:tbl>
    <w:p>
      <w:pPr>
        <w:keepNext w:val="0"/>
        <w:keepLines w:val="0"/>
        <w:pageBreakBefore w:val="0"/>
        <w:kinsoku/>
        <w:wordWrap/>
        <w:overflowPunct/>
        <w:topLinePunct w:val="0"/>
        <w:autoSpaceDE/>
        <w:autoSpaceDN/>
        <w:bidi w:val="0"/>
        <w:adjustRightInd/>
        <w:snapToGrid/>
        <w:textAlignment w:val="auto"/>
        <w:rPr>
          <w:color w:val="auto"/>
        </w:rPr>
      </w:pPr>
    </w:p>
    <w:p>
      <w:pPr>
        <w:keepNext w:val="0"/>
        <w:keepLines w:val="0"/>
        <w:pageBreakBefore w:val="0"/>
        <w:kinsoku/>
        <w:wordWrap/>
        <w:overflowPunct/>
        <w:topLinePunct w:val="0"/>
        <w:autoSpaceDE/>
        <w:autoSpaceDN/>
        <w:bidi w:val="0"/>
        <w:adjustRightInd/>
        <w:snapToGrid/>
        <w:textAlignment w:val="auto"/>
        <w:rPr>
          <w:rFonts w:hint="eastAsia"/>
          <w:b/>
          <w:bCs/>
          <w:color w:val="auto"/>
        </w:rPr>
      </w:pPr>
    </w:p>
    <w:p>
      <w:pPr>
        <w:keepNext w:val="0"/>
        <w:keepLines w:val="0"/>
        <w:pageBreakBefore w:val="0"/>
        <w:kinsoku/>
        <w:wordWrap/>
        <w:overflowPunct/>
        <w:topLinePunct w:val="0"/>
        <w:autoSpaceDE/>
        <w:autoSpaceDN/>
        <w:bidi w:val="0"/>
        <w:adjustRightInd/>
        <w:snapToGrid/>
        <w:textAlignment w:val="auto"/>
        <w:rPr>
          <w:color w:val="auto"/>
        </w:rPr>
      </w:pPr>
      <w:r>
        <w:rPr>
          <w:rFonts w:hint="eastAsia"/>
          <w:b/>
          <w:bCs/>
          <w:color w:val="auto"/>
        </w:rPr>
        <w:t>评标方法及标准</w:t>
      </w:r>
      <w:r>
        <w:rPr>
          <w:rFonts w:hint="eastAsia"/>
          <w:color w:val="auto"/>
          <w:lang w:eastAsia="zh-CN"/>
        </w:rPr>
        <w:t>（</w:t>
      </w:r>
      <w:r>
        <w:rPr>
          <w:rFonts w:hint="eastAsia"/>
          <w:color w:val="auto"/>
          <w:lang w:val="en-US" w:eastAsia="zh-CN"/>
        </w:rPr>
        <w:t>本评分办法中，各评分类别--报价部分、技术部分、商务部分的最终得分，均按“该类别</w:t>
      </w:r>
      <w:bookmarkStart w:id="0" w:name="_GoBack"/>
      <w:bookmarkEnd w:id="0"/>
      <w:r>
        <w:rPr>
          <w:rFonts w:hint="eastAsia"/>
          <w:color w:val="auto"/>
          <w:lang w:val="en-US" w:eastAsia="zh-CN"/>
        </w:rPr>
        <w:t>权值×该类别分值评审得分”的公式计算得出。</w:t>
      </w:r>
      <w:r>
        <w:rPr>
          <w:rFonts w:hint="eastAsia"/>
          <w:color w:val="auto"/>
          <w:lang w:eastAsia="zh-CN"/>
        </w:rPr>
        <w:t>）</w:t>
      </w:r>
    </w:p>
    <w:tbl>
      <w:tblPr>
        <w:tblStyle w:val="3"/>
        <w:tblpPr w:leftFromText="180" w:rightFromText="180" w:vertAnchor="text" w:horzAnchor="page" w:tblpX="1367" w:tblpY="625"/>
        <w:tblOverlap w:val="never"/>
        <w:tblW w:w="97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134"/>
        <w:gridCol w:w="1369"/>
        <w:gridCol w:w="6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ascii="宋体" w:hAnsi="宋体"/>
                <w:b/>
                <w:bCs/>
                <w:color w:val="auto"/>
                <w:szCs w:val="21"/>
              </w:rPr>
            </w:pPr>
            <w:r>
              <w:rPr>
                <w:rFonts w:hint="eastAsia" w:ascii="宋体" w:hAnsi="宋体"/>
                <w:b/>
                <w:bCs/>
                <w:color w:val="auto"/>
                <w:szCs w:val="21"/>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ascii="宋体" w:hAnsi="宋体"/>
                <w:b/>
                <w:bCs/>
                <w:color w:val="auto"/>
                <w:szCs w:val="21"/>
              </w:rPr>
            </w:pPr>
            <w:r>
              <w:rPr>
                <w:rFonts w:hint="eastAsia" w:ascii="宋体" w:hAnsi="宋体"/>
                <w:b/>
                <w:bCs/>
                <w:color w:val="auto"/>
                <w:szCs w:val="21"/>
              </w:rPr>
              <w:t>评分项目</w:t>
            </w:r>
          </w:p>
        </w:tc>
        <w:tc>
          <w:tcPr>
            <w:tcW w:w="13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ascii="宋体" w:hAnsi="宋体"/>
                <w:b/>
                <w:bCs/>
                <w:color w:val="auto"/>
                <w:szCs w:val="21"/>
              </w:rPr>
            </w:pPr>
            <w:r>
              <w:rPr>
                <w:rFonts w:hint="eastAsia" w:ascii="宋体" w:hAnsi="宋体"/>
                <w:b/>
                <w:bCs/>
                <w:color w:val="auto"/>
                <w:szCs w:val="21"/>
              </w:rPr>
              <w:t>分值</w:t>
            </w:r>
          </w:p>
        </w:tc>
        <w:tc>
          <w:tcPr>
            <w:tcW w:w="6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ascii="宋体" w:hAnsi="宋体"/>
                <w:b/>
                <w:bCs/>
                <w:color w:val="auto"/>
                <w:szCs w:val="21"/>
              </w:rPr>
            </w:pPr>
            <w:r>
              <w:rPr>
                <w:rFonts w:hint="eastAsia" w:ascii="宋体" w:hAnsi="宋体"/>
                <w:b/>
                <w:bCs/>
                <w:color w:val="auto"/>
                <w:szCs w:val="21"/>
              </w:rPr>
              <w:t>评审因素与评分标准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rPr>
            </w:pPr>
            <w:r>
              <w:rPr>
                <w:rFonts w:hint="eastAsia" w:ascii="宋体" w:hAnsi="宋体" w:cs="宋体"/>
                <w:color w:val="auto"/>
                <w:szCs w:val="21"/>
              </w:rPr>
              <w:t>磋商</w:t>
            </w:r>
          </w:p>
          <w:p>
            <w:pPr>
              <w:pStyle w:val="2"/>
              <w:rPr>
                <w:rFonts w:hint="eastAsia" w:eastAsia="宋体"/>
                <w:color w:val="auto"/>
                <w:lang w:eastAsia="zh-CN"/>
              </w:rPr>
            </w:pPr>
            <w:r>
              <w:rPr>
                <w:rFonts w:hint="eastAsia" w:ascii="宋体" w:hAnsi="宋体" w:cs="宋体"/>
                <w:color w:val="auto"/>
                <w:szCs w:val="21"/>
                <w:lang w:val="en-US" w:eastAsia="zh-CN"/>
              </w:rPr>
              <w:t>（15</w:t>
            </w:r>
            <w:r>
              <w:rPr>
                <w:rFonts w:hint="eastAsia" w:ascii="宋体" w:hAnsi="宋体" w:cs="宋体"/>
                <w:color w:val="auto"/>
                <w:szCs w:val="21"/>
              </w:rPr>
              <w:t>分</w:t>
            </w:r>
            <w:r>
              <w:rPr>
                <w:rFonts w:hint="eastAsia" w:ascii="宋体" w:hAnsi="宋体" w:cs="宋体"/>
                <w:color w:val="auto"/>
                <w:szCs w:val="21"/>
                <w:lang w:eastAsia="zh-CN"/>
              </w:rPr>
              <w:t>）</w:t>
            </w:r>
          </w:p>
        </w:tc>
        <w:tc>
          <w:tcPr>
            <w:tcW w:w="13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lang w:val="en-US" w:eastAsia="zh-CN"/>
              </w:rPr>
              <w:t>15</w:t>
            </w:r>
            <w:r>
              <w:rPr>
                <w:rFonts w:hint="eastAsia" w:ascii="宋体" w:hAnsi="宋体" w:cs="宋体"/>
                <w:color w:val="auto"/>
                <w:szCs w:val="21"/>
              </w:rPr>
              <w:t>分</w:t>
            </w:r>
          </w:p>
        </w:tc>
        <w:tc>
          <w:tcPr>
            <w:tcW w:w="6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rPr>
            </w:pPr>
            <w:r>
              <w:rPr>
                <w:rFonts w:hint="eastAsia" w:ascii="宋体" w:hAnsi="宋体" w:cs="宋体"/>
                <w:color w:val="auto"/>
                <w:szCs w:val="21"/>
                <w:lang w:val="en-US" w:eastAsia="zh-CN"/>
              </w:rPr>
              <w:t>已</w:t>
            </w:r>
            <w:r>
              <w:rPr>
                <w:rFonts w:hint="eastAsia" w:ascii="宋体" w:hAnsi="宋体" w:cs="宋体"/>
                <w:color w:val="auto"/>
                <w:szCs w:val="21"/>
              </w:rPr>
              <w:t>经评委会一致认定满足招标文件要求且最后报价最低的供应商的价格为磋商基准价，其价格分为满分。其他供应商的价格分统一按照下列公式计算：磋商报价得分=（磋商基准价/最后磋商报价）×</w:t>
            </w:r>
            <w:r>
              <w:rPr>
                <w:rFonts w:ascii="宋体" w:hAnsi="宋体" w:cs="宋体"/>
                <w:color w:val="auto"/>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2</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技术</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50</w:t>
            </w:r>
            <w:r>
              <w:rPr>
                <w:rFonts w:hint="eastAsia" w:ascii="宋体" w:hAnsi="宋体" w:cs="宋体"/>
                <w:color w:val="auto"/>
                <w:szCs w:val="21"/>
              </w:rPr>
              <w:t>分）</w:t>
            </w:r>
          </w:p>
        </w:tc>
        <w:tc>
          <w:tcPr>
            <w:tcW w:w="13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项目理解</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（10分）</w:t>
            </w:r>
          </w:p>
        </w:tc>
        <w:tc>
          <w:tcPr>
            <w:tcW w:w="6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rPr>
            </w:pPr>
            <w:r>
              <w:rPr>
                <w:rFonts w:hint="eastAsia" w:ascii="宋体" w:hAnsi="宋体" w:cs="宋体"/>
                <w:color w:val="auto"/>
                <w:szCs w:val="21"/>
              </w:rPr>
              <w:t>根据投标人对本项目整体需求的理解、定位（包括但不限于</w:t>
            </w:r>
            <w:r>
              <w:rPr>
                <w:rFonts w:hint="eastAsia" w:ascii="宋体" w:hAnsi="宋体" w:cs="宋体"/>
                <w:color w:val="auto"/>
                <w:szCs w:val="21"/>
                <w:lang w:val="en-US" w:eastAsia="zh-CN"/>
              </w:rPr>
              <w:t>项目</w:t>
            </w:r>
            <w:r>
              <w:rPr>
                <w:rFonts w:hint="eastAsia" w:ascii="宋体" w:hAnsi="宋体" w:cs="宋体"/>
                <w:color w:val="auto"/>
                <w:szCs w:val="21"/>
              </w:rPr>
              <w:t>目标、</w:t>
            </w:r>
            <w:r>
              <w:rPr>
                <w:rFonts w:hint="eastAsia" w:ascii="宋体" w:hAnsi="宋体" w:cs="宋体"/>
                <w:color w:val="auto"/>
                <w:szCs w:val="21"/>
                <w:lang w:val="en-US" w:eastAsia="zh-CN"/>
              </w:rPr>
              <w:t>项目</w:t>
            </w:r>
            <w:r>
              <w:rPr>
                <w:rFonts w:hint="eastAsia" w:ascii="宋体" w:hAnsi="宋体" w:cs="宋体"/>
                <w:color w:val="auto"/>
                <w:szCs w:val="21"/>
              </w:rPr>
              <w:t>内容</w:t>
            </w:r>
            <w:r>
              <w:rPr>
                <w:rFonts w:hint="eastAsia" w:ascii="宋体" w:hAnsi="宋体" w:cs="宋体"/>
                <w:color w:val="auto"/>
                <w:szCs w:val="21"/>
                <w:lang w:eastAsia="zh-CN"/>
              </w:rPr>
              <w:t>、</w:t>
            </w:r>
            <w:r>
              <w:rPr>
                <w:rFonts w:hint="eastAsia" w:ascii="宋体" w:hAnsi="宋体" w:cs="宋体"/>
                <w:color w:val="auto"/>
                <w:szCs w:val="21"/>
                <w:lang w:val="en-US" w:eastAsia="zh-CN"/>
              </w:rPr>
              <w:t>项目成果提交</w:t>
            </w:r>
            <w:r>
              <w:rPr>
                <w:rFonts w:hint="eastAsia" w:ascii="宋体" w:hAnsi="宋体" w:cs="宋体"/>
                <w:color w:val="auto"/>
                <w:szCs w:val="21"/>
                <w:lang w:val="en-US" w:eastAsia="zh-CN"/>
              </w:rPr>
              <w:t>及</w:t>
            </w:r>
            <w:r>
              <w:rPr>
                <w:rFonts w:hint="eastAsia" w:ascii="宋体" w:hAnsi="宋体" w:cs="宋体"/>
                <w:color w:val="auto"/>
                <w:szCs w:val="21"/>
                <w:lang w:val="en-US" w:eastAsia="zh-CN"/>
              </w:rPr>
              <w:t>验收</w:t>
            </w:r>
            <w:r>
              <w:rPr>
                <w:rFonts w:hint="eastAsia" w:ascii="宋体" w:hAnsi="宋体" w:cs="宋体"/>
                <w:color w:val="auto"/>
                <w:szCs w:val="21"/>
              </w:rPr>
              <w:t>等）综合打分，理解准确、理解全面、切合实际的，计10分，缺漏项、不合理的，每处扣2.5分，扣完为止。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77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color w:val="auto"/>
                <w:szCs w:val="21"/>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color w:val="auto"/>
                <w:szCs w:val="21"/>
              </w:rPr>
            </w:pPr>
          </w:p>
        </w:tc>
        <w:tc>
          <w:tcPr>
            <w:tcW w:w="13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lang w:val="en-US" w:eastAsia="zh-CN"/>
              </w:rPr>
              <w:t>宣传片制作</w:t>
            </w:r>
            <w:r>
              <w:rPr>
                <w:rFonts w:hint="eastAsia" w:ascii="宋体" w:hAnsi="宋体" w:cs="宋体"/>
                <w:color w:val="auto"/>
                <w:szCs w:val="21"/>
              </w:rPr>
              <w:t>方案</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（20分）</w:t>
            </w:r>
          </w:p>
        </w:tc>
        <w:tc>
          <w:tcPr>
            <w:tcW w:w="6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rPr>
            </w:pPr>
            <w:r>
              <w:rPr>
                <w:rFonts w:hint="eastAsia" w:ascii="宋体" w:hAnsi="宋体" w:cs="宋体"/>
                <w:color w:val="auto"/>
                <w:szCs w:val="21"/>
              </w:rPr>
              <w:t>投标人针对本项目制定的</w:t>
            </w:r>
            <w:r>
              <w:rPr>
                <w:rFonts w:hint="eastAsia" w:ascii="宋体" w:hAnsi="宋体" w:cs="宋体"/>
                <w:color w:val="auto"/>
                <w:szCs w:val="21"/>
                <w:lang w:val="en-US" w:eastAsia="zh-CN"/>
              </w:rPr>
              <w:t>宣传片制作</w:t>
            </w:r>
            <w:r>
              <w:rPr>
                <w:rFonts w:hint="eastAsia" w:ascii="宋体" w:hAnsi="宋体" w:cs="宋体"/>
                <w:color w:val="auto"/>
                <w:szCs w:val="21"/>
              </w:rPr>
              <w:t>方案（包含但不限于</w:t>
            </w:r>
            <w:r>
              <w:rPr>
                <w:rFonts w:hint="eastAsia" w:ascii="宋体" w:hAnsi="宋体" w:cs="宋体"/>
                <w:color w:val="auto"/>
                <w:szCs w:val="21"/>
                <w:lang w:val="en-US" w:eastAsia="zh-CN"/>
              </w:rPr>
              <w:t>宣传片脚本、拍摄、后期剪辑</w:t>
            </w:r>
            <w:r>
              <w:rPr>
                <w:rFonts w:hint="eastAsia" w:ascii="宋体" w:hAnsi="宋体" w:cs="宋体"/>
                <w:color w:val="auto"/>
                <w:szCs w:val="21"/>
              </w:rPr>
              <w:t>等），方案清晰合理、切实可行、针对性强、创意突出的，计20分，缺漏项、不合理的，每处扣5分，扣完为止。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7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color w:val="auto"/>
                <w:szCs w:val="21"/>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color w:val="auto"/>
                <w:szCs w:val="21"/>
              </w:rPr>
            </w:pPr>
          </w:p>
        </w:tc>
        <w:tc>
          <w:tcPr>
            <w:tcW w:w="13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活动录制方案</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（10分）</w:t>
            </w:r>
          </w:p>
        </w:tc>
        <w:tc>
          <w:tcPr>
            <w:tcW w:w="6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rPr>
            </w:pPr>
            <w:r>
              <w:rPr>
                <w:rFonts w:hint="eastAsia" w:ascii="宋体" w:hAnsi="宋体" w:cs="宋体"/>
                <w:color w:val="auto"/>
                <w:szCs w:val="21"/>
              </w:rPr>
              <w:t>投标人</w:t>
            </w:r>
            <w:r>
              <w:rPr>
                <w:rFonts w:hint="eastAsia" w:ascii="宋体" w:hAnsi="宋体" w:cs="宋体"/>
                <w:color w:val="auto"/>
                <w:szCs w:val="21"/>
                <w:lang w:val="en-US" w:eastAsia="zh-CN"/>
              </w:rPr>
              <w:t>针对</w:t>
            </w:r>
            <w:r>
              <w:rPr>
                <w:rFonts w:hint="eastAsia" w:ascii="宋体" w:hAnsi="宋体" w:cs="宋体"/>
                <w:color w:val="auto"/>
                <w:szCs w:val="21"/>
              </w:rPr>
              <w:t>本项目制定的</w:t>
            </w:r>
            <w:r>
              <w:rPr>
                <w:rFonts w:hint="eastAsia" w:ascii="宋体" w:hAnsi="宋体" w:cs="宋体"/>
                <w:color w:val="auto"/>
                <w:szCs w:val="21"/>
                <w:lang w:val="en-US" w:eastAsia="zh-CN"/>
              </w:rPr>
              <w:t>展演活动录制</w:t>
            </w:r>
            <w:r>
              <w:rPr>
                <w:rFonts w:hint="eastAsia" w:ascii="宋体" w:hAnsi="宋体" w:cs="宋体"/>
                <w:color w:val="auto"/>
                <w:szCs w:val="21"/>
              </w:rPr>
              <w:t>方案（包括</w:t>
            </w:r>
            <w:r>
              <w:rPr>
                <w:rFonts w:hint="eastAsia" w:ascii="宋体" w:hAnsi="宋体" w:cs="宋体"/>
                <w:color w:val="auto"/>
                <w:szCs w:val="21"/>
                <w:lang w:val="en-US" w:eastAsia="zh-CN"/>
              </w:rPr>
              <w:t>录制工作安排、后期剪辑</w:t>
            </w:r>
            <w:r>
              <w:rPr>
                <w:rFonts w:hint="eastAsia" w:ascii="宋体" w:hAnsi="宋体" w:cs="宋体"/>
                <w:color w:val="auto"/>
                <w:szCs w:val="21"/>
              </w:rPr>
              <w:t>等），方案科学合理、切实可行，针对性强的，计10分，缺漏项、不合理的，每处扣2分，扣完为止。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7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color w:val="auto"/>
                <w:szCs w:val="21"/>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color w:val="auto"/>
                <w:szCs w:val="21"/>
              </w:rPr>
            </w:pPr>
          </w:p>
        </w:tc>
        <w:tc>
          <w:tcPr>
            <w:tcW w:w="13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宣传推广方案</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（10分）</w:t>
            </w:r>
          </w:p>
        </w:tc>
        <w:tc>
          <w:tcPr>
            <w:tcW w:w="6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投标人针对本项目制定的宣传推广方案（包含但不限于对本项目的电视台展播、省级媒体宣传等），方案科学合理、切实可行，针对性强的，计10分，缺漏项、不合理的，每处扣2分，扣完为止。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72"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3</w:t>
            </w:r>
          </w:p>
        </w:tc>
        <w:tc>
          <w:tcPr>
            <w:tcW w:w="1134"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商务</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lang w:val="en-US" w:eastAsia="zh-CN"/>
              </w:rPr>
              <w:t>5</w:t>
            </w:r>
            <w:r>
              <w:rPr>
                <w:rFonts w:hint="eastAsia" w:ascii="宋体" w:hAnsi="宋体" w:cs="宋体"/>
                <w:color w:val="auto"/>
                <w:szCs w:val="21"/>
              </w:rPr>
              <w:t>分）</w:t>
            </w:r>
          </w:p>
        </w:tc>
        <w:tc>
          <w:tcPr>
            <w:tcW w:w="13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类似业绩</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w:t>
            </w:r>
            <w:r>
              <w:rPr>
                <w:rFonts w:hint="eastAsia" w:ascii="宋体" w:hAnsi="宋体" w:cs="宋体"/>
                <w:color w:val="auto"/>
                <w:szCs w:val="21"/>
              </w:rPr>
              <w:t>分）</w:t>
            </w:r>
          </w:p>
        </w:tc>
        <w:tc>
          <w:tcPr>
            <w:tcW w:w="6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rPr>
            </w:pPr>
            <w:r>
              <w:rPr>
                <w:rFonts w:hint="eastAsia" w:ascii="宋体" w:hAnsi="宋体" w:cs="宋体"/>
                <w:color w:val="auto"/>
                <w:szCs w:val="21"/>
              </w:rPr>
              <w:t>投标人</w:t>
            </w:r>
            <w:r>
              <w:rPr>
                <w:rFonts w:hint="eastAsia" w:ascii="宋体" w:hAnsi="宋体" w:cs="宋体"/>
                <w:color w:val="auto"/>
                <w:szCs w:val="21"/>
                <w:lang w:val="en-US" w:eastAsia="zh-CN"/>
              </w:rPr>
              <w:t>自</w:t>
            </w:r>
            <w:r>
              <w:rPr>
                <w:rFonts w:hint="eastAsia" w:ascii="宋体" w:hAnsi="宋体" w:cs="宋体"/>
                <w:color w:val="auto"/>
                <w:szCs w:val="21"/>
              </w:rPr>
              <w:t>20</w:t>
            </w:r>
            <w:r>
              <w:rPr>
                <w:rFonts w:hint="eastAsia" w:ascii="宋体" w:hAnsi="宋体" w:cs="宋体"/>
                <w:color w:val="auto"/>
                <w:szCs w:val="21"/>
                <w:lang w:val="en-US" w:eastAsia="zh-CN"/>
              </w:rPr>
              <w:t>23</w:t>
            </w:r>
            <w:r>
              <w:rPr>
                <w:rFonts w:hint="eastAsia" w:ascii="宋体" w:hAnsi="宋体" w:cs="宋体"/>
                <w:color w:val="auto"/>
                <w:szCs w:val="21"/>
              </w:rPr>
              <w:t>年</w:t>
            </w:r>
            <w:r>
              <w:rPr>
                <w:rFonts w:hint="eastAsia" w:ascii="宋体" w:hAnsi="宋体" w:cs="宋体"/>
                <w:color w:val="auto"/>
                <w:szCs w:val="21"/>
                <w:lang w:val="en-US" w:eastAsia="zh-CN"/>
              </w:rPr>
              <w:t>1</w:t>
            </w:r>
            <w:r>
              <w:rPr>
                <w:rFonts w:hint="eastAsia" w:ascii="宋体" w:hAnsi="宋体" w:cs="宋体"/>
                <w:color w:val="auto"/>
                <w:szCs w:val="21"/>
              </w:rPr>
              <w:t>月</w:t>
            </w:r>
            <w:r>
              <w:rPr>
                <w:rFonts w:hint="eastAsia" w:ascii="宋体" w:hAnsi="宋体" w:cs="宋体"/>
                <w:color w:val="auto"/>
                <w:szCs w:val="21"/>
                <w:lang w:val="en-US" w:eastAsia="zh-CN"/>
              </w:rPr>
              <w:t>1日以来</w:t>
            </w:r>
            <w:r>
              <w:rPr>
                <w:rFonts w:hint="eastAsia" w:ascii="宋体" w:hAnsi="宋体" w:cs="宋体"/>
                <w:color w:val="auto"/>
                <w:szCs w:val="21"/>
              </w:rPr>
              <w:t>，</w:t>
            </w:r>
            <w:r>
              <w:rPr>
                <w:rFonts w:hint="eastAsia" w:ascii="宋体" w:hAnsi="宋体" w:cs="宋体"/>
                <w:color w:val="auto"/>
                <w:szCs w:val="21"/>
                <w:lang w:val="en-US" w:eastAsia="zh-CN"/>
              </w:rPr>
              <w:t>承担过类似项目的，</w:t>
            </w:r>
            <w:r>
              <w:rPr>
                <w:rFonts w:hint="eastAsia" w:ascii="宋体" w:hAnsi="宋体" w:cs="宋体"/>
                <w:color w:val="auto"/>
                <w:szCs w:val="21"/>
              </w:rPr>
              <w:t>每提供1个计</w:t>
            </w:r>
            <w:r>
              <w:rPr>
                <w:rFonts w:hint="eastAsia" w:ascii="宋体" w:hAnsi="宋体" w:cs="宋体"/>
                <w:color w:val="auto"/>
                <w:szCs w:val="21"/>
                <w:lang w:val="en-US" w:eastAsia="zh-CN"/>
              </w:rPr>
              <w:t>4</w:t>
            </w:r>
            <w:r>
              <w:rPr>
                <w:rFonts w:hint="eastAsia" w:ascii="宋体" w:hAnsi="宋体" w:cs="宋体"/>
                <w:color w:val="auto"/>
                <w:szCs w:val="21"/>
              </w:rPr>
              <w:t>分，最多计1</w:t>
            </w:r>
            <w:r>
              <w:rPr>
                <w:rFonts w:ascii="宋体" w:hAnsi="宋体" w:cs="宋体"/>
                <w:color w:val="auto"/>
                <w:szCs w:val="21"/>
              </w:rPr>
              <w:t>2</w:t>
            </w:r>
            <w:r>
              <w:rPr>
                <w:rFonts w:hint="eastAsia" w:ascii="宋体" w:hAnsi="宋体" w:cs="宋体"/>
                <w:color w:val="auto"/>
                <w:szCs w:val="21"/>
              </w:rPr>
              <w:t>分。</w:t>
            </w:r>
          </w:p>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rPr>
            </w:pPr>
            <w:r>
              <w:rPr>
                <w:rFonts w:hint="eastAsia" w:ascii="宋体" w:hAnsi="宋体" w:cs="宋体"/>
                <w:color w:val="auto"/>
                <w:szCs w:val="21"/>
              </w:rPr>
              <w:t xml:space="preserve">（提供合同复印件并加盖投标人公章，否则不得分）。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72"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p>
        </w:tc>
        <w:tc>
          <w:tcPr>
            <w:tcW w:w="1134"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p>
        </w:tc>
        <w:tc>
          <w:tcPr>
            <w:tcW w:w="13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服务团队</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5</w:t>
            </w:r>
            <w:r>
              <w:rPr>
                <w:rFonts w:hint="eastAsia" w:ascii="宋体" w:hAnsi="宋体" w:cs="宋体"/>
                <w:color w:val="auto"/>
                <w:szCs w:val="21"/>
              </w:rPr>
              <w:t>分）</w:t>
            </w:r>
          </w:p>
        </w:tc>
        <w:tc>
          <w:tcPr>
            <w:tcW w:w="6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rPr>
            </w:pPr>
            <w:r>
              <w:rPr>
                <w:rFonts w:hint="eastAsia" w:ascii="宋体" w:hAnsi="宋体" w:cs="宋体"/>
                <w:color w:val="auto"/>
                <w:szCs w:val="21"/>
              </w:rPr>
              <w:t>投标人</w:t>
            </w:r>
            <w:r>
              <w:rPr>
                <w:rFonts w:hint="eastAsia" w:ascii="宋体" w:hAnsi="宋体" w:cs="宋体"/>
                <w:color w:val="auto"/>
                <w:szCs w:val="21"/>
                <w:lang w:val="en-US" w:eastAsia="zh-CN"/>
              </w:rPr>
              <w:t>针对本次项目提供相应专业的技术人员（项目负责人、导演、摄像、后期等），每提供1类人员计3分，本项最多计15分。</w:t>
            </w:r>
          </w:p>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rPr>
            </w:pPr>
            <w:r>
              <w:rPr>
                <w:rFonts w:hint="eastAsia" w:ascii="宋体" w:hAnsi="宋体" w:cs="宋体"/>
                <w:color w:val="auto"/>
                <w:szCs w:val="21"/>
              </w:rPr>
              <w:t>注：提供人员名单及近三个月投标人为其缴纳社保证明材料并加盖公章，未提供不计分。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72"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p>
        </w:tc>
        <w:tc>
          <w:tcPr>
            <w:tcW w:w="1134"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p>
        </w:tc>
        <w:tc>
          <w:tcPr>
            <w:tcW w:w="13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kern w:val="0"/>
                <w:szCs w:val="21"/>
              </w:rPr>
            </w:pPr>
            <w:r>
              <w:rPr>
                <w:rFonts w:hint="eastAsia" w:ascii="宋体" w:hAnsi="宋体" w:cs="宋体"/>
                <w:color w:val="auto"/>
                <w:kern w:val="0"/>
                <w:szCs w:val="21"/>
              </w:rPr>
              <w:t>公司实力</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kern w:val="0"/>
                <w:szCs w:val="21"/>
              </w:rPr>
              <w:t>（</w:t>
            </w:r>
            <w:r>
              <w:rPr>
                <w:rFonts w:hint="eastAsia" w:ascii="宋体" w:hAnsi="宋体" w:cs="宋体"/>
                <w:color w:val="auto"/>
                <w:szCs w:val="21"/>
                <w:lang w:val="en-US" w:eastAsia="zh-CN"/>
              </w:rPr>
              <w:t>8</w:t>
            </w:r>
            <w:r>
              <w:rPr>
                <w:rFonts w:hint="eastAsia" w:ascii="宋体" w:hAnsi="宋体" w:cs="宋体"/>
                <w:color w:val="auto"/>
                <w:szCs w:val="21"/>
              </w:rPr>
              <w:t>分</w:t>
            </w:r>
            <w:r>
              <w:rPr>
                <w:rFonts w:hint="eastAsia" w:ascii="宋体" w:hAnsi="宋体" w:cs="宋体"/>
                <w:color w:val="auto"/>
                <w:kern w:val="0"/>
                <w:szCs w:val="21"/>
              </w:rPr>
              <w:t>）</w:t>
            </w:r>
          </w:p>
        </w:tc>
        <w:tc>
          <w:tcPr>
            <w:tcW w:w="6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rPr>
            </w:pPr>
            <w:r>
              <w:rPr>
                <w:rFonts w:hint="eastAsia" w:ascii="宋体" w:hAnsi="宋体" w:cs="宋体"/>
                <w:color w:val="auto"/>
                <w:szCs w:val="21"/>
              </w:rPr>
              <w:t>投标人具有</w:t>
            </w:r>
            <w:r>
              <w:rPr>
                <w:rFonts w:hint="eastAsia" w:ascii="宋体" w:hAnsi="宋体" w:cs="宋体"/>
                <w:color w:val="auto"/>
                <w:szCs w:val="21"/>
                <w:lang w:val="en-US" w:eastAsia="zh-CN"/>
              </w:rPr>
              <w:t>广播电视节目制作经营许可证或广播电视频道许可证的，计5分，具有</w:t>
            </w:r>
            <w:r>
              <w:rPr>
                <w:rFonts w:hint="eastAsia" w:ascii="宋体" w:hAnsi="宋体" w:cs="宋体"/>
                <w:color w:val="auto"/>
                <w:szCs w:val="21"/>
              </w:rPr>
              <w:t>互联网新闻信息服务许可证</w:t>
            </w:r>
            <w:r>
              <w:rPr>
                <w:rFonts w:hint="eastAsia" w:ascii="宋体" w:hAnsi="宋体" w:cs="宋体"/>
                <w:color w:val="auto"/>
                <w:szCs w:val="21"/>
                <w:lang w:val="en-US" w:eastAsia="zh-CN"/>
              </w:rPr>
              <w:t>的</w:t>
            </w:r>
            <w:r>
              <w:rPr>
                <w:rFonts w:hint="eastAsia" w:ascii="宋体" w:hAnsi="宋体" w:cs="宋体"/>
                <w:color w:val="auto"/>
                <w:szCs w:val="21"/>
              </w:rPr>
              <w:t>，计</w:t>
            </w:r>
            <w:r>
              <w:rPr>
                <w:rFonts w:hint="eastAsia" w:ascii="宋体" w:hAnsi="宋体" w:cs="宋体"/>
                <w:color w:val="auto"/>
                <w:szCs w:val="21"/>
                <w:lang w:val="en-US" w:eastAsia="zh-CN"/>
              </w:rPr>
              <w:t>3</w:t>
            </w:r>
            <w:r>
              <w:rPr>
                <w:rFonts w:hint="eastAsia" w:ascii="宋体" w:hAnsi="宋体" w:cs="宋体"/>
                <w:color w:val="auto"/>
                <w:szCs w:val="21"/>
              </w:rPr>
              <w:t>分，</w:t>
            </w:r>
            <w:r>
              <w:rPr>
                <w:rFonts w:hint="eastAsia" w:ascii="宋体" w:hAnsi="宋体" w:cs="宋体"/>
                <w:color w:val="auto"/>
                <w:szCs w:val="21"/>
                <w:lang w:val="en-US" w:eastAsia="zh-CN"/>
              </w:rPr>
              <w:t>本项</w:t>
            </w:r>
            <w:r>
              <w:rPr>
                <w:rFonts w:hint="eastAsia" w:ascii="宋体" w:hAnsi="宋体" w:cs="宋体"/>
                <w:color w:val="auto"/>
                <w:szCs w:val="21"/>
              </w:rPr>
              <w:t>最多计</w:t>
            </w:r>
            <w:r>
              <w:rPr>
                <w:rFonts w:hint="eastAsia" w:ascii="宋体" w:hAnsi="宋体" w:cs="宋体"/>
                <w:color w:val="auto"/>
                <w:szCs w:val="21"/>
                <w:lang w:val="en-US" w:eastAsia="zh-CN"/>
              </w:rPr>
              <w:t>8</w:t>
            </w:r>
            <w:r>
              <w:rPr>
                <w:rFonts w:hint="eastAsia" w:ascii="宋体" w:hAnsi="宋体" w:cs="宋体"/>
                <w:color w:val="auto"/>
                <w:szCs w:val="21"/>
              </w:rPr>
              <w:t>分。</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lang w:val="en-US" w:eastAsia="zh-CN"/>
              </w:rPr>
            </w:pPr>
            <w:r>
              <w:rPr>
                <w:rFonts w:hint="eastAsia" w:ascii="宋体" w:hAnsi="宋体" w:cs="宋体"/>
                <w:color w:val="auto"/>
                <w:szCs w:val="21"/>
              </w:rPr>
              <w:t>注：提供相关证明文件复印件并加盖投标人公章，否则不计分</w:t>
            </w:r>
            <w:r>
              <w:rPr>
                <w:rFonts w:hint="eastAsia" w:ascii="宋体" w:hAnsi="宋体" w:cs="宋体"/>
                <w:color w:val="auto"/>
                <w:szCs w:val="21"/>
                <w:lang w:val="en-US" w:eastAsia="zh-CN"/>
              </w:rPr>
              <w:t>.</w:t>
            </w:r>
          </w:p>
        </w:tc>
      </w:tr>
    </w:tbl>
    <w:p>
      <w:pPr>
        <w:keepNext w:val="0"/>
        <w:keepLines w:val="0"/>
        <w:pageBreakBefore w:val="0"/>
        <w:kinsoku/>
        <w:wordWrap/>
        <w:overflowPunct/>
        <w:topLinePunct w:val="0"/>
        <w:autoSpaceDE/>
        <w:autoSpaceDN/>
        <w:bidi w:val="0"/>
        <w:adjustRightInd/>
        <w:snapToGrid/>
        <w:textAlignment w:val="auto"/>
        <w:rPr>
          <w:rFonts w:hint="eastAsia"/>
          <w:color w:val="auto"/>
        </w:rPr>
      </w:pPr>
    </w:p>
    <w:p>
      <w:pPr>
        <w:keepNext w:val="0"/>
        <w:keepLines w:val="0"/>
        <w:pageBreakBefore w:val="0"/>
        <w:kinsoku/>
        <w:wordWrap/>
        <w:overflowPunct/>
        <w:topLinePunct w:val="0"/>
        <w:autoSpaceDE/>
        <w:autoSpaceDN/>
        <w:bidi w:val="0"/>
        <w:adjustRightInd/>
        <w:snapToGrid/>
        <w:textAlignment w:val="auto"/>
        <w:rPr>
          <w:rFonts w:hint="eastAsia"/>
          <w:color w:val="auto"/>
        </w:rPr>
      </w:pPr>
    </w:p>
    <w:p>
      <w:pPr>
        <w:keepNext w:val="0"/>
        <w:keepLines w:val="0"/>
        <w:pageBreakBefore w:val="0"/>
        <w:kinsoku/>
        <w:wordWrap/>
        <w:overflowPunct/>
        <w:topLinePunct w:val="0"/>
        <w:autoSpaceDE/>
        <w:autoSpaceDN/>
        <w:bidi w:val="0"/>
        <w:adjustRightInd/>
        <w:snapToGrid/>
        <w:textAlignment w:val="auto"/>
        <w:rPr>
          <w:color w:val="auto"/>
        </w:rPr>
      </w:pPr>
    </w:p>
    <w:sectPr>
      <w:pgSz w:w="11906" w:h="16838"/>
      <w:pgMar w:top="1497" w:right="866" w:bottom="1327" w:left="138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BEE5AA8"/>
    <w:rsid w:val="1D266050"/>
    <w:rsid w:val="1FE66AFD"/>
    <w:rsid w:val="3B57C1C1"/>
    <w:rsid w:val="4A275310"/>
    <w:rsid w:val="4DA1056C"/>
    <w:rsid w:val="5BEE5B62"/>
    <w:rsid w:val="678C42CF"/>
    <w:rsid w:val="71C629CB"/>
    <w:rsid w:val="7D5D45FF"/>
    <w:rsid w:val="F6FB0F7E"/>
    <w:rsid w:val="F95DA767"/>
    <w:rsid w:val="FD9F0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kern w:val="0"/>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annotation reference"/>
    <w:basedOn w:val="5"/>
    <w:qFormat/>
    <w:uiPriority w:val="0"/>
    <w:rPr>
      <w:sz w:val="16"/>
      <w:szCs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949</Words>
  <Characters>983</Characters>
  <Lines>0</Lines>
  <Paragraphs>0</Paragraphs>
  <TotalTime>8</TotalTime>
  <ScaleCrop>false</ScaleCrop>
  <LinksUpToDate>false</LinksUpToDate>
  <CharactersWithSpaces>984</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2025-10-16T17:23:00Z</dcterms:created>
  <dc:creator>mac</dc:creator>
  <cp:lastModifiedBy>greatwall</cp:lastModifiedBy>
  <dcterms:modified xsi:type="dcterms:W3CDTF">2026-07-27T08:10:57Z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E55DE4308FBD09D5DA62016918748D38_43</vt:lpwstr>
  </property>
  <property fmtid="{D5CDD505-2E9C-101B-9397-08002B2CF9AE}" pid="3" name="KSOProductBuildVer">
    <vt:lpwstr>2052-11.8.2.10251</vt:lpwstr>
  </property>
  <property fmtid="{D5CDD505-2E9C-101B-9397-08002B2CF9AE}" pid="4" name="KSOTemplateDocerSaveRecord">
    <vt:lpwstr>eyJoZGlkIjoiZGE2Mjg2YTZkZTMyMTYwY2M1OTQ5YzJlN2MyYmRjOGEiLCJ1c2VySWQiOiI3NDc1NDE0MzEifQ==</vt:lpwstr>
  </property>
</Properties>
</file>